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both"/>
        <w:rPr>
          <w:rFonts w:ascii="宋体" w:hAnsi="宋体" w:cs="宋体"/>
          <w:kern w:val="0"/>
        </w:rPr>
      </w:pPr>
      <w:bookmarkStart w:id="0" w:name="_GoBack"/>
      <w:bookmarkEnd w:id="0"/>
      <w:r>
        <w:rPr>
          <w:rFonts w:hint="eastAsia" w:ascii="黑体" w:hAnsi="黑体" w:eastAsia="黑体" w:cs="黑体"/>
          <w:b w:val="0"/>
          <w:bCs w:val="0"/>
          <w:kern w:val="0"/>
        </w:rPr>
        <w:t>附件14</w:t>
      </w:r>
    </w:p>
    <w:p>
      <w:pPr>
        <w:pStyle w:val="2"/>
        <w:adjustRightInd w:val="0"/>
        <w:snapToGrid w:val="0"/>
        <w:spacing w:before="0" w:after="0" w:line="360" w:lineRule="auto"/>
        <w:ind w:firstLine="883" w:firstLineChars="200"/>
        <w:jc w:val="left"/>
        <w:rPr>
          <w:rFonts w:ascii="宋体" w:hAnsi="宋体" w:cs="宋体"/>
          <w:kern w:val="0"/>
          <w:sz w:val="44"/>
          <w:szCs w:val="44"/>
        </w:rPr>
      </w:pPr>
      <w:r>
        <w:rPr>
          <w:rFonts w:hint="eastAsia" w:ascii="宋体" w:hAnsi="宋体" w:cs="宋体"/>
          <w:kern w:val="0"/>
          <w:sz w:val="44"/>
          <w:szCs w:val="44"/>
        </w:rPr>
        <w:t>儿童福利院新冠肺炎防控技术方案</w:t>
      </w:r>
    </w:p>
    <w:p>
      <w:pPr>
        <w:pStyle w:val="2"/>
        <w:adjustRightInd w:val="0"/>
        <w:snapToGrid w:val="0"/>
        <w:spacing w:before="0" w:after="0" w:line="360" w:lineRule="auto"/>
        <w:ind w:left="672" w:leftChars="210" w:firstLine="433" w:firstLineChars="98"/>
        <w:jc w:val="left"/>
        <w:rPr>
          <w:rFonts w:ascii="黑体" w:hAnsi="黑体" w:eastAsia="黑体" w:cs="仿宋"/>
          <w:b w:val="0"/>
        </w:rPr>
      </w:pPr>
      <w:r>
        <w:rPr>
          <w:rFonts w:ascii="宋体" w:hAnsi="宋体" w:cs="黑体"/>
          <w:sz w:val="44"/>
          <w:szCs w:val="44"/>
        </w:rPr>
        <w:br w:type="textWrapping"/>
      </w:r>
      <w:r>
        <w:rPr>
          <w:rFonts w:hint="eastAsia" w:ascii="黑体" w:hAnsi="黑体" w:eastAsia="黑体" w:cs="仿宋"/>
          <w:b w:val="0"/>
        </w:rPr>
        <w:t>　一、卫生管理</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（一）落实主体责任。</w:t>
      </w:r>
      <w:r>
        <w:rPr>
          <w:rFonts w:hint="eastAsia" w:ascii="仿宋_GB2312" w:hAnsi="仿宋_GB2312" w:eastAsia="仿宋_GB2312" w:cs="仿宋_GB2312"/>
          <w:b w:val="0"/>
        </w:rPr>
        <w:t>儿童福利院负责人是疫情防控第一责任人，建立防控制度，组织院内护理人员、医务人员、后勤人员制定应急方案，做好相关人员的信息采集工作。</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（二）建立健康监测制度。</w:t>
      </w:r>
      <w:r>
        <w:rPr>
          <w:rFonts w:hint="eastAsia" w:ascii="仿宋_GB2312" w:hAnsi="仿宋_GB2312" w:eastAsia="仿宋_GB2312" w:cs="仿宋_GB2312"/>
          <w:b w:val="0"/>
        </w:rPr>
        <w:t>安排专人对福利院中的工作人员和儿童进行体温监测，每日实行晨检和晚检，体温异常者或有咳嗽、乏力等症状的人员应当及时就医排查，做到“早发现、早报告、早诊断、早隔离、早治疗”。</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（三）加强防控知识宣教。</w:t>
      </w:r>
      <w:r>
        <w:rPr>
          <w:rFonts w:hint="eastAsia" w:ascii="仿宋_GB2312" w:hAnsi="仿宋_GB2312" w:eastAsia="仿宋_GB2312" w:cs="仿宋_GB2312"/>
          <w:b w:val="0"/>
        </w:rPr>
        <w:t xml:space="preserve">用健康提示、张贴宣传画、视频播放等多种方式（不可聚集性学习），加强新冠肺炎防治知识科学宣传普及，引导儿童充分了解新冠肺炎防治知识，学会正确的洗手方法，养成良好卫生习惯。 </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（四）建立进出人员登记制度。</w:t>
      </w:r>
      <w:r>
        <w:rPr>
          <w:rFonts w:hint="eastAsia" w:ascii="仿宋_GB2312" w:hAnsi="仿宋_GB2312" w:eastAsia="仿宋_GB2312" w:cs="仿宋_GB2312"/>
          <w:b w:val="0"/>
        </w:rPr>
        <w:t>在新冠肺炎流行期间，尽可能减少不必要人员的访视。所有人员进入福利院前进行体温监测，异常者不得入内；减少后勤采购人员等物资采购频次，尽量采取送货上门等方式。</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（五）发挥医务室的作用。</w:t>
      </w:r>
      <w:r>
        <w:rPr>
          <w:rFonts w:hint="eastAsia" w:ascii="仿宋_GB2312" w:hAnsi="仿宋_GB2312" w:eastAsia="仿宋_GB2312" w:cs="仿宋_GB2312"/>
          <w:b w:val="0"/>
        </w:rPr>
        <w:t>注意配备相关药物、各类防护用品和消毒物资，如口罩、防护服、护目镜、洗手液、消毒工具、消毒剂等。</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（六）鼓励开展心理健康服务。</w:t>
      </w:r>
      <w:r>
        <w:rPr>
          <w:rFonts w:hint="eastAsia" w:ascii="仿宋_GB2312" w:hAnsi="仿宋_GB2312" w:eastAsia="仿宋_GB2312" w:cs="仿宋_GB2312"/>
          <w:b w:val="0"/>
        </w:rPr>
        <w:t>了解受疫情影响儿童的心理健康状况，疏解儿童的焦虑恐惧情绪。</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（七）合理控制人员密度。</w:t>
      </w:r>
      <w:r>
        <w:rPr>
          <w:rFonts w:hint="eastAsia" w:ascii="仿宋_GB2312" w:hAnsi="仿宋_GB2312" w:eastAsia="仿宋_GB2312" w:cs="仿宋_GB2312"/>
          <w:b w:val="0"/>
        </w:rPr>
        <w:t>充分利用福利院内空间，合理控制居住房间、活动室、盥洗室、洗浴间、游戏区、图书阅览区、办公区等区域内护理人员和儿童数量，人与人之间保持1米以上距离。</w:t>
      </w:r>
    </w:p>
    <w:p>
      <w:pPr>
        <w:pStyle w:val="2"/>
        <w:adjustRightInd w:val="0"/>
        <w:snapToGrid w:val="0"/>
        <w:spacing w:before="0" w:after="0" w:line="360" w:lineRule="auto"/>
        <w:ind w:firstLine="640" w:firstLineChars="200"/>
        <w:jc w:val="left"/>
        <w:rPr>
          <w:rFonts w:ascii="黑体" w:hAnsi="黑体" w:eastAsia="黑体" w:cs="仿宋"/>
          <w:b w:val="0"/>
        </w:rPr>
      </w:pPr>
      <w:r>
        <w:rPr>
          <w:rFonts w:hint="eastAsia" w:ascii="黑体" w:hAnsi="黑体" w:eastAsia="黑体" w:cs="仿宋"/>
          <w:b w:val="0"/>
        </w:rPr>
        <w:t>二、预防性卫生措施</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（一）通风换气。</w:t>
      </w:r>
      <w:r>
        <w:rPr>
          <w:rFonts w:hint="eastAsia" w:ascii="仿宋_GB2312" w:hAnsi="仿宋_GB2312" w:eastAsia="仿宋_GB2312" w:cs="仿宋_GB2312"/>
          <w:b w:val="0"/>
        </w:rPr>
        <w:t>保持室内空气流通，采取切实可行的措施加强空气流通。在气温状况允许的情况下，可开门开窗。每日开窗2-3次，每次时间30分钟，同时注意保暖，避免室温改变引起儿童着凉感冒。</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（二）清洁消毒。</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做好物体表面和地面清洁消毒。保持室内各区域环境整洁卫生，每天定期消毒，并做好清洁消毒记录。对日常高频接触的物体表面，可用含氯消毒剂（有效氯浓度250mg/L-500mg/L）擦拭；保持地面整洁卫生，可用含氯消毒剂（有效氯浓度250mg/L-500mg/L）湿式拖布拖拭。</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2.呕吐物处理。当发现人呕吐物时，应当立即用一次性吸水材料加足量消毒液或有效的消毒干巾对呕吐物进行覆盖消毒，清除呕吐物后，再使用季铵盐类消毒剂或含氯消毒剂进行物体表面消毒处理。</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3.餐（饮）具清洁消毒。餐（饮）具去残渣、清洗后，煮沸或流通蒸汽消毒15分钟；或采用热力消毒柜等消毒方式；或采用有效氯含量为250 mg/L溶液，浸泡消毒30分钟，消毒后应当将残留消毒剂冲净。</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4.纺织品的清洁消毒。保持衣服、被褥、床单等纺织物清洁，定期洗涤。如需消毒处理，可用流通蒸汽或煮沸消毒30分钟，或先用含有效氯500mg/L的消毒液浸泡30分钟，然后常规清洗。</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5.公共卫生间、洗浴间清洁消毒。对福利院内公共卫生间、洗浴间（更衣室、洗浴室）的卫生洁具每日消毒，可用含有效氯500mg/L的消毒剂浸泡或擦拭，作用30分钟后，清水冲洗待用。</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（三）餐厅和食堂防护。</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1.保持空气流通，以清洁为主，预防性消毒为辅。</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2.采取有效的分流措施，鼓励错峰用餐，保持1米以上距离，避免人员密集和聚餐活动。</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3.餐厅每日消毒3次，餐桌椅使用后进行消毒。食饮具一人一用一消毒。</w:t>
      </w:r>
    </w:p>
    <w:p>
      <w:pPr>
        <w:pStyle w:val="2"/>
        <w:adjustRightInd w:val="0"/>
        <w:snapToGrid w:val="0"/>
        <w:spacing w:before="0" w:after="0" w:line="360" w:lineRule="auto"/>
        <w:ind w:firstLine="640" w:firstLineChars="200"/>
        <w:jc w:val="left"/>
        <w:rPr>
          <w:rFonts w:ascii="黑体" w:hAnsi="黑体" w:eastAsia="黑体" w:cs="仿宋"/>
          <w:b w:val="0"/>
        </w:rPr>
      </w:pPr>
      <w:r>
        <w:rPr>
          <w:rFonts w:hint="eastAsia" w:ascii="黑体" w:hAnsi="黑体" w:eastAsia="黑体" w:cs="仿宋"/>
          <w:b w:val="0"/>
        </w:rPr>
        <w:t>三、个人防护</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（一）护理人员个人防护。</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1.加强手卫生。护理人员在上岗期间应当经常洗手，或用有效的速干手消毒剂揉搓双手；有肉眼可见污染物时，应当使用洗手液在流动水下洗手。在工作中避免用手或手套触碰眼睛。</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2.佩戴口罩。护理人员应当佩戴防护口罩，在护理儿童和婴幼儿的时候不得摘下口罩。</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3.保持良好卫生习惯。不要对着儿童和婴幼儿打喷嚏、呼气。如果咳嗽和打喷嚏时，要用纸巾捂住口鼻，如果来不及就用手肘捂住口鼻，然后再去清洗手肘。另外，先丢弃捂住口鼻的纸巾，再洗手。</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（二）儿童个人防护。</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1.尽量佩戴口罩。引导儿童在集体活动时正确佩戴口罩。</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2.儿童出现以下情况必须洗手：吃东西前、上厕所前后、从户外进入室内、玩玩具前后、玩耍后、擤鼻涕后、打喷嚏用手遮掩口鼻后、手弄脏后等。</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3.打喷嚏和咳嗽时应当用纸巾或手肘部位遮蔽口鼻，将打喷嚏和咳嗽时使用过的纸巾放入有盖的垃圾桶内，打喷嚏和咳嗽后应当用肥皂或洗手液彻底清洗双手。</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（三）婴幼儿的卫生防护。婴幼儿主要是以被动防护为主，即靠护理人员的防护来间接保护婴幼儿。</w:t>
      </w:r>
    </w:p>
    <w:p>
      <w:pPr>
        <w:pStyle w:val="2"/>
        <w:adjustRightInd w:val="0"/>
        <w:snapToGrid w:val="0"/>
        <w:spacing w:before="0" w:after="0" w:line="360" w:lineRule="auto"/>
        <w:ind w:firstLine="640" w:firstLineChars="200"/>
        <w:jc w:val="left"/>
        <w:rPr>
          <w:rFonts w:ascii="黑体" w:hAnsi="黑体" w:eastAsia="黑体" w:cs="仿宋"/>
          <w:b w:val="0"/>
        </w:rPr>
      </w:pPr>
      <w:r>
        <w:rPr>
          <w:rFonts w:hint="eastAsia" w:ascii="黑体" w:hAnsi="黑体" w:eastAsia="黑体" w:cs="仿宋"/>
          <w:b w:val="0"/>
        </w:rPr>
        <w:t>四、防控措施</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（一）一般措施。</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1.设立隔离观察区域。当护理人员、儿童出现发热、乏力、干咳等可疑症状时，及时到该区域进行暂时隔离，再按照相关规范要求进行处理。</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2.加强健康监测。护理人员应当注意自身健康状况监测，福利院应当合理安排工作人员轮休。</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3.加强室外环境整治。加强对院内公共区域清扫力度，彻底清除院内以及角落散落的堆积物和垃圾，做到日产日清，卫生无死角。</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4.加强物体表面清洁消毒。应当保持居住房间、食堂或餐厅、澡堂、公共活动区等场所环境卫生整洁，每日定期消毒并记录。</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5.加强重点场所地面清洁消毒。应当加强居住房间、食堂或餐厅、澡堂、公共活动区等场所地面的清洁，每日定期消毒并记录。可使用有效氯500mg/L的含氯消毒液擦拭消毒。</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6.加强垃圾分类管理，及时收集清运，并做好垃圾盛装容器的清洁，可用有效氯500mg/L的含氯消毒剂定期对其进行消毒处理。</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（二）</w:t>
      </w:r>
      <w:r>
        <w:rPr>
          <w:rFonts w:hint="eastAsia" w:ascii="楷体_GB2312" w:hAnsi="楷体_GB2312" w:eastAsia="楷体_GB2312" w:cs="楷体_GB2312"/>
          <w:b w:val="0"/>
        </w:rPr>
        <w:tab/>
      </w:r>
      <w:r>
        <w:rPr>
          <w:rFonts w:hint="eastAsia" w:ascii="楷体_GB2312" w:hAnsi="楷体_GB2312" w:eastAsia="楷体_GB2312" w:cs="楷体_GB2312"/>
          <w:b w:val="0"/>
        </w:rPr>
        <w:t>发现病例。</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1.护理人员和儿童出现新冠肺炎可疑症状（包括发热、干咳、乏力、鼻塞、流涕、咽痛、腹泻等），不排除有流行病学史的，应当立即在隔离区执行隔离观察。</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被确诊为疑似病例或确诊病例的，应当立即送定点医疗机构就诊；福利机构须及时向相关部门报告，在当地卫生健康、民政部门指导下对密切接触者开展排查，实施14天隔离观察；机构开展全面消杀、规范处置个人物品等相关工作。</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3.在医疗机构就诊后返回福利机构的儿童及陪同工作人员，应当隔离观察14天，无异常后方可入住和工作。新冠肺炎儿童治愈后需返回福利机构的，应当隔离观察14天，无异常后方可入住。</w:t>
      </w:r>
    </w:p>
    <w:p>
      <w:pPr>
        <w:pStyle w:val="2"/>
        <w:adjustRightInd w:val="0"/>
        <w:snapToGrid w:val="0"/>
        <w:spacing w:before="0" w:after="0" w:line="360" w:lineRule="auto"/>
        <w:ind w:firstLine="640" w:firstLineChars="200"/>
        <w:jc w:val="left"/>
        <w:rPr>
          <w:rFonts w:ascii="仿宋" w:hAnsi="仿宋" w:eastAsia="仿宋" w:cs="仿宋"/>
          <w:b w:val="0"/>
        </w:rPr>
      </w:pPr>
    </w:p>
    <w:p>
      <w:pPr>
        <w:pStyle w:val="2"/>
        <w:adjustRightInd w:val="0"/>
        <w:snapToGrid w:val="0"/>
        <w:spacing w:before="0" w:after="0" w:line="360" w:lineRule="auto"/>
        <w:ind w:firstLine="640" w:firstLineChars="200"/>
        <w:jc w:val="left"/>
        <w:rPr>
          <w:rFonts w:ascii="仿宋" w:hAnsi="仿宋" w:eastAsia="仿宋" w:cs="仿宋"/>
          <w:b w:val="0"/>
        </w:rPr>
      </w:pPr>
    </w:p>
    <w:p>
      <w:pPr>
        <w:pStyle w:val="2"/>
        <w:adjustRightInd w:val="0"/>
        <w:snapToGrid w:val="0"/>
        <w:spacing w:before="0" w:after="0" w:line="360" w:lineRule="auto"/>
        <w:ind w:firstLine="640" w:firstLineChars="200"/>
        <w:jc w:val="left"/>
        <w:rPr>
          <w:rFonts w:ascii="仿宋" w:hAnsi="仿宋" w:eastAsia="仿宋" w:cs="宋体"/>
          <w:b w:val="0"/>
          <w:kern w:val="0"/>
        </w:rPr>
      </w:pPr>
      <w:r>
        <w:rPr>
          <w:rFonts w:hint="eastAsia" w:ascii="仿宋" w:hAnsi="仿宋" w:eastAsia="仿宋" w:cs="仿宋"/>
          <w:b w:val="0"/>
        </w:rPr>
        <w:t>　</w:t>
      </w:r>
    </w:p>
    <w:p>
      <w:pPr>
        <w:pStyle w:val="6"/>
        <w:spacing w:line="360" w:lineRule="auto"/>
        <w:ind w:right="234" w:rightChars="73"/>
      </w:pPr>
    </w:p>
    <w:p>
      <w:pPr>
        <w:pStyle w:val="6"/>
        <w:spacing w:line="360" w:lineRule="auto"/>
        <w:ind w:right="234" w:rightChars="73"/>
      </w:pPr>
    </w:p>
    <w:p>
      <w:pPr>
        <w:pStyle w:val="6"/>
        <w:spacing w:line="360" w:lineRule="auto"/>
        <w:ind w:right="234" w:rightChars="73"/>
      </w:pPr>
    </w:p>
    <w:p>
      <w:pPr>
        <w:pStyle w:val="6"/>
        <w:spacing w:line="360" w:lineRule="auto"/>
        <w:ind w:right="234" w:rightChars="73"/>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4"/>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54B64"/>
    <w:rsid w:val="006A48E9"/>
    <w:rsid w:val="00795FB2"/>
    <w:rsid w:val="008219D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6679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Cambria" w:hAnsi="Cambria" w:eastAsia="宋体"/>
      <w:b/>
      <w:bCs/>
      <w:szCs w:val="32"/>
    </w:rPr>
  </w:style>
  <w:style w:type="character" w:customStyle="1" w:styleId="5">
    <w:name w:val="标题 字符"/>
    <w:basedOn w:val="4"/>
    <w:link w:val="2"/>
    <w:uiPriority w:val="10"/>
    <w:rPr>
      <w:rFonts w:ascii="Cambria" w:hAnsi="Cambria" w:eastAsia="宋体" w:cs="Times New Roman"/>
      <w:b/>
      <w:bCs/>
      <w:sz w:val="32"/>
      <w:szCs w:val="32"/>
    </w:rPr>
  </w:style>
  <w:style w:type="paragraph" w:customStyle="1" w:styleId="6">
    <w:name w:val="样式1"/>
    <w:basedOn w:val="1"/>
    <w:uiPriority w:val="0"/>
    <w:rPr>
      <w:rFonts w:ascii="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362</Words>
  <Characters>2070</Characters>
  <Lines>17</Lines>
  <Paragraphs>4</Paragraphs>
  <TotalTime>0</TotalTime>
  <ScaleCrop>false</ScaleCrop>
  <LinksUpToDate>false</LinksUpToDate>
  <CharactersWithSpaces>2428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2020-02-25T01:33:00Z</dcterms:created>
  <dc:creator>lenovo</dc:creator>
  <cp:lastModifiedBy>chenbaby</cp:lastModifiedBy>
  <dcterms:modified xsi:type="dcterms:W3CDTF">2020-02-27T12:09:57Z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