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_GBK" w:hAnsi="宋体" w:eastAsia="方正小标宋_GBK"/>
          <w:sz w:val="44"/>
          <w:szCs w:val="44"/>
        </w:rPr>
      </w:pPr>
      <w:bookmarkStart w:id="0" w:name="RiseOffice_body"/>
      <w:r>
        <w:rPr>
          <w:rFonts w:hint="eastAsia" w:ascii="方正小标宋_GBK" w:hAnsi="宋体" w:eastAsia="方正小标宋_GBK"/>
          <w:sz w:val="44"/>
          <w:szCs w:val="44"/>
        </w:rPr>
        <w:t>深圳市水务建设市场主体不良行为认定及</w:t>
      </w:r>
    </w:p>
    <w:p>
      <w:pPr>
        <w:snapToGrid w:val="0"/>
        <w:spacing w:line="600" w:lineRule="exact"/>
        <w:jc w:val="center"/>
        <w:rPr>
          <w:rFonts w:ascii="黑体" w:hAnsi="宋体" w:eastAsia="黑体" w:cs="宋体"/>
          <w:b/>
          <w:spacing w:val="30"/>
          <w:kern w:val="0"/>
          <w:sz w:val="32"/>
          <w:szCs w:val="32"/>
        </w:rPr>
      </w:pPr>
      <w:r>
        <w:rPr>
          <w:rFonts w:hint="eastAsia" w:ascii="方正小标宋_GBK" w:hAnsi="宋体" w:eastAsia="方正小标宋_GBK"/>
          <w:sz w:val="44"/>
          <w:szCs w:val="44"/>
        </w:rPr>
        <w:t>应用管理办法</w:t>
      </w:r>
    </w:p>
    <w:p>
      <w:pPr>
        <w:snapToGrid w:val="0"/>
        <w:spacing w:line="520" w:lineRule="exact"/>
        <w:jc w:val="center"/>
        <w:rPr>
          <w:rFonts w:ascii="黑体" w:hAnsi="黑体" w:eastAsia="黑体"/>
          <w:sz w:val="32"/>
          <w:szCs w:val="32"/>
        </w:rPr>
      </w:pPr>
    </w:p>
    <w:p>
      <w:pPr>
        <w:pStyle w:val="8"/>
        <w:snapToGrid w:val="0"/>
        <w:spacing w:line="520" w:lineRule="exact"/>
        <w:rPr>
          <w:rFonts w:ascii="黑体" w:hAnsi="黑体" w:eastAsia="黑体"/>
          <w:b w:val="0"/>
        </w:rPr>
      </w:pPr>
      <w:r>
        <w:rPr>
          <w:rFonts w:hint="eastAsia" w:ascii="黑体" w:hAnsi="黑体" w:eastAsia="黑体"/>
          <w:b w:val="0"/>
        </w:rPr>
        <w:t>第一章</w:t>
      </w:r>
      <w:r>
        <w:rPr>
          <w:rFonts w:ascii="黑体" w:hAnsi="黑体" w:eastAsia="黑体"/>
          <w:b w:val="0"/>
        </w:rPr>
        <w:t xml:space="preserve">  </w:t>
      </w:r>
      <w:r>
        <w:rPr>
          <w:rFonts w:hint="eastAsia" w:ascii="黑体" w:hAnsi="黑体" w:eastAsia="黑体"/>
          <w:b w:val="0"/>
        </w:rPr>
        <w:t>总</w:t>
      </w:r>
      <w:r>
        <w:rPr>
          <w:rFonts w:ascii="黑体" w:hAnsi="黑体" w:eastAsia="黑体"/>
          <w:b w:val="0"/>
        </w:rPr>
        <w:t xml:space="preserve">  </w:t>
      </w:r>
      <w:r>
        <w:rPr>
          <w:rFonts w:hint="eastAsia" w:ascii="黑体" w:hAnsi="黑体" w:eastAsia="黑体"/>
          <w:b w:val="0"/>
        </w:rPr>
        <w:t>则</w:t>
      </w:r>
    </w:p>
    <w:p>
      <w:pPr>
        <w:snapToGrid w:val="0"/>
        <w:spacing w:line="520" w:lineRule="exact"/>
        <w:ind w:firstLine="643" w:firstLineChars="200"/>
        <w:rPr>
          <w:rFonts w:ascii="仿宋_GB2312" w:hAnsi="宋体"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为贯彻落实《国务院关于建立完善守信联合激励和失信联合惩戒制度加快</w:t>
      </w:r>
      <w:r>
        <w:rPr>
          <w:rFonts w:hint="eastAsia" w:ascii="仿宋_GB2312" w:hAnsi="宋体" w:eastAsia="仿宋_GB2312"/>
          <w:sz w:val="32"/>
          <w:szCs w:val="32"/>
        </w:rPr>
        <w:t>推进社会诚信建设的指导意见》（国发〔2016〕33号）等有关社会诚信建设精神，加快推进守信联合激励和失信联合惩戒制度建立，加强水务建设市场秩序监管，规范水务建设市场主体行为，完善水务建设市场准入和退出机制，根据《中华人民共和国招标投标法》《中华人民共和国建筑法》《中华人民共和国安全生产法》《广东省水利厅关于政府投资项目水利工程建设市场不良行为处理办法（试行）》等有关规定，结合深圳市水务建设市场实际，制定本办法。</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第二条</w:t>
      </w:r>
      <w:r>
        <w:rPr>
          <w:rFonts w:ascii="仿宋_GB2312" w:hAnsi="宋体" w:eastAsia="仿宋_GB2312"/>
          <w:sz w:val="32"/>
          <w:szCs w:val="32"/>
        </w:rPr>
        <w:t xml:space="preserve">  </w:t>
      </w:r>
      <w:r>
        <w:rPr>
          <w:rFonts w:hint="eastAsia" w:ascii="仿宋_GB2312" w:hAnsi="宋体" w:eastAsia="仿宋_GB2312"/>
          <w:sz w:val="32"/>
          <w:szCs w:val="32"/>
        </w:rPr>
        <w:t>水务工程建设市场主体在本市从事水务建设活动中产生的不良行为的认定及应用适用本办法。</w:t>
      </w:r>
    </w:p>
    <w:p>
      <w:pPr>
        <w:snapToGrid w:val="0"/>
        <w:spacing w:line="520" w:lineRule="exact"/>
        <w:ind w:firstLine="640" w:firstLineChars="200"/>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本办法所称水务工程是指在江河、湖泊和地下水源上开发、利用、控制、调配和保护水资源的各类工程。包括蓄引水、防洪（潮）治涝、农田水利、水力发电、供水和排水、水环境综合治理、水土保持、污水处理及回用、海水利用、海涂围垦等工程（包括新建、扩建、加固、修复）及其配套和附属工程。</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深圳市水务建设市场主体不良行为认定及应用，应遵循依法、合规，公开、公正，准确、及时的原则，维护市场主体的合法权益，保守国家秘密，保护商业秘密和个人隐私。</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本办法所称深圳市水务建设市场主体（以下简称“市场主体”），是指参与深圳市水务工程建设活动的勘察、设计、施工、监理、招标代理、质量检测（含竣工测量、管道内窥检测）、供货（甲供）、造价咨询、安全咨询、环境咨询、地质灾害咨询等单位。</w:t>
      </w:r>
    </w:p>
    <w:p>
      <w:pPr>
        <w:snapToGrid w:val="0"/>
        <w:spacing w:line="520" w:lineRule="exact"/>
        <w:ind w:firstLine="643" w:firstLineChars="200"/>
        <w:rPr>
          <w:rStyle w:val="21"/>
          <w:rFonts w:ascii="仿宋_GB2312" w:eastAsia="仿宋_GB2312"/>
          <w:sz w:val="32"/>
          <w:szCs w:val="32"/>
        </w:rPr>
      </w:pPr>
      <w:r>
        <w:rPr>
          <w:rFonts w:hint="eastAsia" w:ascii="仿宋_GB2312" w:hAnsi="宋体" w:eastAsia="仿宋_GB2312"/>
          <w:b/>
          <w:sz w:val="32"/>
          <w:szCs w:val="32"/>
        </w:rPr>
        <w:t xml:space="preserve">第五条  </w:t>
      </w:r>
      <w:r>
        <w:rPr>
          <w:rFonts w:hint="eastAsia" w:ascii="仿宋_GB2312" w:hAnsi="宋体" w:eastAsia="仿宋_GB2312"/>
          <w:sz w:val="32"/>
          <w:szCs w:val="32"/>
        </w:rPr>
        <w:t>本办法所称</w:t>
      </w:r>
      <w:r>
        <w:rPr>
          <w:rStyle w:val="21"/>
          <w:rFonts w:hint="eastAsia" w:ascii="仿宋_GB2312" w:eastAsia="仿宋_GB2312"/>
          <w:sz w:val="32"/>
          <w:szCs w:val="32"/>
        </w:rPr>
        <w:t>不良行为，是指</w:t>
      </w:r>
      <w:r>
        <w:rPr>
          <w:rFonts w:hint="eastAsia" w:ascii="仿宋_GB2312" w:hAnsi="宋体" w:eastAsia="仿宋_GB2312"/>
          <w:sz w:val="32"/>
          <w:szCs w:val="32"/>
        </w:rPr>
        <w:t>勘察、设计、施工、监理等</w:t>
      </w:r>
      <w:r>
        <w:rPr>
          <w:rStyle w:val="21"/>
          <w:rFonts w:hint="eastAsia" w:ascii="仿宋_GB2312" w:eastAsia="仿宋_GB2312"/>
          <w:sz w:val="32"/>
          <w:szCs w:val="32"/>
        </w:rPr>
        <w:t>市场主体在资质管理、业务承接、质量安全管理以及合同履行等方面违反有关法律、法规和规章，违反水利行业现行规程、规范和技术标准，以及合同履行严重不到位，在质量、安全、投资、进度等方面产生不良影响和后果的行为。</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市水行政主管部门根据相关规定并结合实际制定市场主体不良行为认定标准</w:t>
      </w:r>
      <w:r>
        <w:rPr>
          <w:rFonts w:hint="eastAsia" w:ascii="仿宋_GB2312" w:hAnsi="宋体" w:eastAsia="仿宋_GB2312" w:cs="宋体"/>
          <w:kern w:val="0"/>
          <w:sz w:val="32"/>
          <w:szCs w:val="32"/>
        </w:rPr>
        <w:t>（见附件</w:t>
      </w:r>
      <w:r>
        <w:rPr>
          <w:rFonts w:ascii="仿宋_GB2312" w:hAnsi="宋体" w:eastAsia="仿宋_GB2312" w:cs="宋体"/>
          <w:kern w:val="0"/>
          <w:sz w:val="32"/>
          <w:szCs w:val="32"/>
        </w:rPr>
        <w:t>1</w:t>
      </w:r>
      <w:r>
        <w:rPr>
          <w:rFonts w:hint="eastAsia" w:ascii="仿宋_GB2312" w:hAnsi="宋体" w:eastAsia="仿宋_GB2312" w:cs="宋体"/>
          <w:kern w:val="0"/>
          <w:sz w:val="32"/>
          <w:szCs w:val="32"/>
        </w:rPr>
        <w:t>）。</w:t>
      </w:r>
    </w:p>
    <w:p>
      <w:pPr>
        <w:snapToGrid w:val="0"/>
        <w:spacing w:line="520" w:lineRule="exact"/>
        <w:ind w:firstLine="643" w:firstLineChars="200"/>
        <w:rPr>
          <w:rStyle w:val="21"/>
          <w:rFonts w:ascii="仿宋_GB2312" w:eastAsia="仿宋_GB2312"/>
          <w:sz w:val="32"/>
          <w:szCs w:val="32"/>
        </w:rPr>
      </w:pPr>
      <w:r>
        <w:rPr>
          <w:rFonts w:hint="eastAsia" w:ascii="仿宋_GB2312" w:hAnsi="宋体" w:eastAsia="仿宋_GB2312"/>
          <w:b/>
          <w:sz w:val="32"/>
          <w:szCs w:val="32"/>
        </w:rPr>
        <w:t xml:space="preserve">第七条  </w:t>
      </w:r>
      <w:r>
        <w:rPr>
          <w:rStyle w:val="21"/>
          <w:rFonts w:hint="eastAsia" w:ascii="仿宋_GB2312" w:eastAsia="仿宋_GB2312"/>
          <w:sz w:val="32"/>
          <w:szCs w:val="32"/>
        </w:rPr>
        <w:t>不良行为，按照认定标准根据其严重程度实行量化</w:t>
      </w:r>
      <w:r>
        <w:rPr>
          <w:rStyle w:val="21"/>
          <w:rFonts w:hint="eastAsia" w:ascii="仿宋_GB2312" w:eastAsia="仿宋_GB2312"/>
          <w:spacing w:val="-6"/>
          <w:sz w:val="32"/>
          <w:szCs w:val="32"/>
        </w:rPr>
        <w:t>扣分制，通过量化扣分值将其划分为轻微、较严重、严重三个等级</w:t>
      </w:r>
      <w:r>
        <w:rPr>
          <w:rStyle w:val="21"/>
          <w:rFonts w:hint="eastAsia" w:ascii="仿宋_GB2312" w:eastAsia="仿宋_GB2312"/>
          <w:sz w:val="32"/>
          <w:szCs w:val="32"/>
        </w:rPr>
        <w:t>：</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（一）一个年度内，扣分值累计达到10分时即认定一次轻微不良行为；</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（二）一个年度内，扣分值累计达到20分时即认定一次较严重不良行为；</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（三）一个年度内，扣分值累计达到40分时即认定一次严重不良行为。</w:t>
      </w:r>
    </w:p>
    <w:p>
      <w:pPr>
        <w:snapToGrid w:val="0"/>
        <w:spacing w:line="520" w:lineRule="exact"/>
        <w:ind w:firstLine="640" w:firstLineChars="200"/>
        <w:rPr>
          <w:rFonts w:ascii="仿宋_GB2312" w:hAnsi="宋体" w:eastAsia="仿宋_GB2312"/>
          <w:sz w:val="32"/>
          <w:szCs w:val="32"/>
        </w:rPr>
      </w:pPr>
      <w:r>
        <w:rPr>
          <w:rStyle w:val="21"/>
          <w:rFonts w:hint="eastAsia" w:ascii="仿宋_GB2312" w:eastAsia="仿宋_GB2312"/>
          <w:sz w:val="32"/>
          <w:szCs w:val="32"/>
        </w:rPr>
        <w:t>对尚未达到轻微等级的不良行为，在一个年度内作扣分记录处理。</w:t>
      </w:r>
    </w:p>
    <w:p>
      <w:pPr>
        <w:pStyle w:val="8"/>
        <w:snapToGrid w:val="0"/>
        <w:spacing w:line="520" w:lineRule="exact"/>
        <w:ind w:firstLine="420"/>
        <w:rPr>
          <w:rFonts w:cs="宋体"/>
          <w:b w:val="0"/>
          <w:spacing w:val="30"/>
          <w:kern w:val="0"/>
        </w:rPr>
      </w:pPr>
      <w:r>
        <w:rPr>
          <w:rFonts w:hint="eastAsia" w:ascii="黑体" w:hAnsi="黑体" w:eastAsia="黑体"/>
          <w:b w:val="0"/>
        </w:rPr>
        <w:t>第二章</w:t>
      </w:r>
      <w:r>
        <w:rPr>
          <w:rFonts w:ascii="黑体" w:hAnsi="黑体" w:eastAsia="黑体"/>
          <w:b w:val="0"/>
        </w:rPr>
        <w:t xml:space="preserve">  </w:t>
      </w:r>
      <w:r>
        <w:rPr>
          <w:rFonts w:hint="eastAsia" w:ascii="黑体" w:hAnsi="黑体" w:eastAsia="黑体"/>
          <w:b w:val="0"/>
        </w:rPr>
        <w:t>职责分工</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市水行政主管部门依照本办法规定，统筹全市市场主体不良行为认定及应用管理工作，包括建立市场主体不良行为认定及应用管理平台，认定市属项目法人（建设单位</w:t>
      </w:r>
      <w:r>
        <w:rPr>
          <w:rFonts w:ascii="仿宋_GB2312" w:hAnsi="宋体" w:eastAsia="仿宋_GB2312"/>
          <w:sz w:val="32"/>
          <w:szCs w:val="32"/>
        </w:rPr>
        <w:t>）</w:t>
      </w:r>
      <w:r>
        <w:rPr>
          <w:rFonts w:hint="eastAsia" w:ascii="仿宋_GB2312" w:hAnsi="宋体" w:eastAsia="仿宋_GB2312"/>
          <w:sz w:val="32"/>
          <w:szCs w:val="32"/>
        </w:rPr>
        <w:t>报送的不良行为，发布不良行为信息，监督各有关单位报送和应用市场主体不良行为信息。</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w:t>
      </w:r>
      <w:r>
        <w:rPr>
          <w:rFonts w:hint="eastAsia" w:ascii="仿宋_GB2312" w:hAnsi="宋体" w:eastAsia="仿宋_GB2312"/>
          <w:spacing w:val="-6"/>
          <w:sz w:val="32"/>
          <w:szCs w:val="32"/>
        </w:rPr>
        <w:t>区水行政主管部门依照本办法规定，负责对本区管辖范围内的市场主体不良行为认定工作，并将认定结果上报市水行</w:t>
      </w:r>
      <w:r>
        <w:rPr>
          <w:rFonts w:hint="eastAsia" w:ascii="仿宋_GB2312" w:hAnsi="宋体" w:eastAsia="仿宋_GB2312"/>
          <w:spacing w:val="-4"/>
          <w:sz w:val="32"/>
          <w:szCs w:val="32"/>
        </w:rPr>
        <w:t>政主管部门，监督各有关单位报送和应用市场主体不良行为信息</w:t>
      </w:r>
      <w:r>
        <w:rPr>
          <w:rFonts w:hint="eastAsia" w:ascii="仿宋_GB2312" w:hAnsi="宋体" w:eastAsia="仿宋_GB2312"/>
          <w:sz w:val="32"/>
          <w:szCs w:val="32"/>
        </w:rPr>
        <w:t>。</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项目法人（建设单位）依照本办法规定和合同约定，负责收集报送市场主体的不良行为信息，协助水行政主管部门处理市场主体提出的陈述或申辩意见等事宜，落实市场主体不良行为信息的应用。</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区属单位（含街道办）负责建设的水务工程，项目法人（建设单位）向区水行政主管部门报送不良行为信息；市属单位（含市水务集团）负责建设的水务工程，项目法人（建设单位</w:t>
      </w:r>
      <w:r>
        <w:rPr>
          <w:rFonts w:ascii="仿宋_GB2312" w:hAnsi="宋体" w:eastAsia="仿宋_GB2312"/>
          <w:sz w:val="32"/>
          <w:szCs w:val="32"/>
        </w:rPr>
        <w:t>）</w:t>
      </w:r>
      <w:r>
        <w:rPr>
          <w:rFonts w:hint="eastAsia" w:ascii="仿宋_GB2312" w:hAnsi="宋体" w:eastAsia="仿宋_GB2312"/>
          <w:sz w:val="32"/>
          <w:szCs w:val="32"/>
        </w:rPr>
        <w:t>向市水行政主管部门报送不良行为信息。</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市、区水行政主管部门应根据本办法制订具体的不良行为认定的实施细则和流程，并由负责工程建设监督管理的处（科）室开展不良行为的具体认定工作。</w:t>
      </w:r>
    </w:p>
    <w:p>
      <w:pPr>
        <w:pStyle w:val="8"/>
        <w:snapToGrid w:val="0"/>
        <w:spacing w:line="520" w:lineRule="exact"/>
        <w:ind w:firstLine="643"/>
        <w:rPr>
          <w:rFonts w:cs="宋体"/>
          <w:b w:val="0"/>
          <w:spacing w:val="30"/>
          <w:kern w:val="0"/>
        </w:rPr>
      </w:pPr>
      <w:r>
        <w:rPr>
          <w:rFonts w:hint="eastAsia" w:ascii="黑体" w:hAnsi="黑体" w:eastAsia="黑体"/>
          <w:b w:val="0"/>
        </w:rPr>
        <w:t>第三章</w:t>
      </w:r>
      <w:r>
        <w:rPr>
          <w:rFonts w:ascii="黑体" w:hAnsi="黑体" w:eastAsia="黑体"/>
          <w:b w:val="0"/>
        </w:rPr>
        <w:t xml:space="preserve">  </w:t>
      </w:r>
      <w:r>
        <w:rPr>
          <w:rFonts w:hint="eastAsia" w:ascii="黑体" w:hAnsi="黑体" w:eastAsia="黑体"/>
          <w:b w:val="0"/>
        </w:rPr>
        <w:t>不良行为的认定</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第十二条  </w:t>
      </w:r>
      <w:r>
        <w:rPr>
          <w:rFonts w:hint="eastAsia" w:ascii="仿宋_GB2312" w:hAnsi="宋体" w:eastAsia="仿宋_GB2312"/>
          <w:sz w:val="32"/>
          <w:szCs w:val="32"/>
        </w:rPr>
        <w:t>不良行为认定凭证包括但不限于以下文书材料：</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（一）</w:t>
      </w:r>
      <w:r>
        <w:rPr>
          <w:rFonts w:hint="eastAsia" w:ascii="仿宋_GB2312" w:hAnsi="宋体" w:eastAsia="仿宋_GB2312"/>
          <w:sz w:val="32"/>
          <w:szCs w:val="32"/>
        </w:rPr>
        <w:t>项目法人（建设单位）在履职过程中，发现市场主体</w:t>
      </w:r>
      <w:r>
        <w:rPr>
          <w:rFonts w:hint="eastAsia" w:ascii="仿宋_GB2312" w:hAnsi="宋体" w:eastAsia="仿宋_GB2312"/>
          <w:spacing w:val="-6"/>
          <w:sz w:val="32"/>
          <w:szCs w:val="32"/>
        </w:rPr>
        <w:t>在质量、安全、投资、进度等方面存在不良行为而做出的处理文书</w:t>
      </w:r>
      <w:r>
        <w:rPr>
          <w:rFonts w:hint="eastAsia" w:ascii="仿宋_GB2312" w:hAnsi="宋体" w:eastAsia="仿宋_GB2312"/>
          <w:sz w:val="32"/>
          <w:szCs w:val="32"/>
        </w:rPr>
        <w:t>；</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（二）</w:t>
      </w:r>
      <w:r>
        <w:rPr>
          <w:rFonts w:hint="eastAsia" w:ascii="仿宋_GB2312" w:hAnsi="宋体" w:eastAsia="仿宋_GB2312"/>
          <w:sz w:val="32"/>
          <w:szCs w:val="32"/>
        </w:rPr>
        <w:t>区级以上（含区级）水行政主管部门或其委托的监督机构在履职过程中，发现市场主体存在不良行为而做出的整改通知书、监督通报、飞行检测通报、检（调）查结果通报、稽查（考核）结果通报、行政处罚决定书等有关处理文书；</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（三）区级以上（含区级）相关行政职能部门在日常管理、检查、验收、事故处理过程中发现市场主体存在不良行为所做出的行政处理（决定）类文书；</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（四）区级以上（含区级）相关行政职能部门对水务建设工程进行稽查、审计所形成的最终稽查报告或审计报告；</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（五）人民法院、检察院、纪检监察机关针对市场主体的不良行为所做出的处理（记录）类文书；</w:t>
      </w:r>
    </w:p>
    <w:p>
      <w:pPr>
        <w:snapToGrid w:val="0"/>
        <w:spacing w:line="520" w:lineRule="exact"/>
        <w:ind w:firstLine="640" w:firstLineChars="200"/>
        <w:rPr>
          <w:rStyle w:val="21"/>
          <w:rFonts w:ascii="仿宋_GB2312" w:eastAsia="仿宋_GB2312"/>
          <w:sz w:val="32"/>
          <w:szCs w:val="32"/>
        </w:rPr>
      </w:pPr>
      <w:r>
        <w:rPr>
          <w:rStyle w:val="21"/>
          <w:rFonts w:hint="eastAsia" w:ascii="仿宋_GB2312" w:eastAsia="仿宋_GB2312"/>
          <w:sz w:val="32"/>
          <w:szCs w:val="32"/>
        </w:rPr>
        <w:t>（六）其它行政职能部门履职过程中依法做出的涉及市场主体不良行为的处理文书。</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第十三条  </w:t>
      </w:r>
      <w:r>
        <w:rPr>
          <w:rFonts w:hint="eastAsia" w:ascii="仿宋_GB2312" w:hAnsi="宋体" w:eastAsia="仿宋_GB2312"/>
          <w:sz w:val="32"/>
          <w:szCs w:val="32"/>
        </w:rPr>
        <w:t>项目法人（建设单位）发现市场主体存在不良行为，符合</w:t>
      </w:r>
      <w:r>
        <w:rPr>
          <w:rFonts w:hint="eastAsia" w:ascii="仿宋_GB2312" w:hAnsi="宋体" w:eastAsia="仿宋_GB2312" w:cs="宋体"/>
          <w:kern w:val="0"/>
          <w:sz w:val="32"/>
          <w:szCs w:val="32"/>
        </w:rPr>
        <w:t>《深圳市水务工程建设市场不良行为认定标准》</w:t>
      </w:r>
      <w:r>
        <w:rPr>
          <w:rFonts w:hint="eastAsia" w:ascii="仿宋_GB2312" w:hAnsi="宋体" w:eastAsia="仿宋_GB2312"/>
          <w:sz w:val="32"/>
          <w:szCs w:val="32"/>
        </w:rPr>
        <w:t>的，应及时填写《不良行为申报表》（见附件2），并附相关证明材料（含影像资料、相关单位出具的处理文书等）按规定报相应水行政主管部门。</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当不良行为发生所达成的扣分值累计达到不良行为相应认定等级时，水行政主管部门可直接进行相应认定。</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第十四条  </w:t>
      </w:r>
      <w:r>
        <w:rPr>
          <w:rFonts w:hint="eastAsia" w:ascii="仿宋_GB2312" w:hAnsi="宋体" w:eastAsia="仿宋_GB2312"/>
          <w:sz w:val="32"/>
          <w:szCs w:val="32"/>
        </w:rPr>
        <w:t>水行政主管部门受理不良行为认定申请后，应先向市场主体出具《不良行为初步认定告知书》（见附件3）。市场主体对不良行为认定有异议的，可在收到不良行为初步认定告知书之日起10日内向水行政主管部门提出书面申辩，水行政主管部门应当在收到书面申辩之日起15个工作日内予以核实并答复市场主体。</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在初步认定告知书送达后</w:t>
      </w:r>
      <w:r>
        <w:rPr>
          <w:rFonts w:ascii="仿宋_GB2312" w:hAnsi="宋体" w:eastAsia="仿宋_GB2312"/>
          <w:sz w:val="32"/>
          <w:szCs w:val="32"/>
        </w:rPr>
        <w:t>10个工作日内</w:t>
      </w:r>
      <w:r>
        <w:rPr>
          <w:rFonts w:hint="eastAsia" w:ascii="仿宋_GB2312" w:hAnsi="宋体" w:eastAsia="仿宋_GB2312"/>
          <w:sz w:val="32"/>
          <w:szCs w:val="32"/>
        </w:rPr>
        <w:t>，</w:t>
      </w:r>
      <w:r>
        <w:rPr>
          <w:rFonts w:ascii="仿宋_GB2312" w:hAnsi="宋体" w:eastAsia="仿宋_GB2312"/>
          <w:sz w:val="32"/>
          <w:szCs w:val="32"/>
        </w:rPr>
        <w:t>未收到相应市场主体</w:t>
      </w:r>
      <w:r>
        <w:rPr>
          <w:rFonts w:hint="eastAsia" w:ascii="仿宋_GB2312" w:hAnsi="宋体" w:eastAsia="仿宋_GB2312"/>
          <w:sz w:val="32"/>
          <w:szCs w:val="32"/>
        </w:rPr>
        <w:t>的</w:t>
      </w:r>
      <w:r>
        <w:rPr>
          <w:rFonts w:ascii="仿宋_GB2312" w:hAnsi="宋体" w:eastAsia="仿宋_GB2312"/>
          <w:sz w:val="32"/>
          <w:szCs w:val="32"/>
        </w:rPr>
        <w:t>书面陈述或申辩</w:t>
      </w:r>
      <w:r>
        <w:rPr>
          <w:rFonts w:hint="eastAsia" w:ascii="仿宋_GB2312" w:hAnsi="宋体" w:eastAsia="仿宋_GB2312"/>
          <w:sz w:val="32"/>
          <w:szCs w:val="32"/>
        </w:rPr>
        <w:t>意见</w:t>
      </w:r>
      <w:r>
        <w:rPr>
          <w:rFonts w:ascii="仿宋_GB2312" w:hAnsi="宋体" w:eastAsia="仿宋_GB2312"/>
          <w:sz w:val="32"/>
          <w:szCs w:val="32"/>
        </w:rPr>
        <w:t>的，</w:t>
      </w:r>
      <w:r>
        <w:rPr>
          <w:rFonts w:hint="eastAsia" w:ascii="仿宋_GB2312" w:hAnsi="宋体" w:eastAsia="仿宋_GB2312"/>
          <w:sz w:val="32"/>
          <w:szCs w:val="32"/>
        </w:rPr>
        <w:t>视为对认定无异议。</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水行政主管部门对不良行为予以认定的，应向市场主体</w:t>
      </w:r>
      <w:r>
        <w:rPr>
          <w:rFonts w:ascii="仿宋_GB2312" w:hAnsi="宋体" w:eastAsia="仿宋_GB2312"/>
          <w:sz w:val="32"/>
          <w:szCs w:val="32"/>
        </w:rPr>
        <w:t>出具《不良行为认定通知书》</w:t>
      </w:r>
      <w:r>
        <w:rPr>
          <w:rFonts w:hint="eastAsia" w:ascii="仿宋_GB2312" w:hAnsi="宋体" w:eastAsia="仿宋_GB2312"/>
          <w:sz w:val="32"/>
          <w:szCs w:val="32"/>
        </w:rPr>
        <w:t>（见附件4</w:t>
      </w:r>
      <w:r>
        <w:rPr>
          <w:rFonts w:ascii="仿宋_GB2312" w:hAnsi="宋体" w:eastAsia="仿宋_GB2312"/>
          <w:sz w:val="32"/>
          <w:szCs w:val="32"/>
        </w:rPr>
        <w:t>），</w:t>
      </w:r>
      <w:r>
        <w:rPr>
          <w:rFonts w:hint="eastAsia" w:ascii="仿宋_GB2312" w:hAnsi="宋体" w:eastAsia="仿宋_GB2312"/>
          <w:sz w:val="32"/>
          <w:szCs w:val="32"/>
        </w:rPr>
        <w:t>并</w:t>
      </w:r>
      <w:r>
        <w:rPr>
          <w:rFonts w:ascii="仿宋_GB2312" w:hAnsi="宋体" w:eastAsia="仿宋_GB2312"/>
          <w:sz w:val="32"/>
          <w:szCs w:val="32"/>
        </w:rPr>
        <w:t>按本办法第十</w:t>
      </w:r>
      <w:r>
        <w:rPr>
          <w:rFonts w:hint="eastAsia" w:ascii="仿宋_GB2312" w:hAnsi="宋体" w:eastAsia="仿宋_GB2312"/>
          <w:sz w:val="32"/>
          <w:szCs w:val="32"/>
        </w:rPr>
        <w:t>七条规定向社会公告（认定管理流程见附件5）。</w:t>
      </w:r>
    </w:p>
    <w:p>
      <w:pPr>
        <w:snapToGrid w:val="0"/>
        <w:spacing w:line="520" w:lineRule="exact"/>
        <w:ind w:firstLine="643" w:firstLineChars="200"/>
        <w:jc w:val="left"/>
        <w:rPr>
          <w:rFonts w:ascii="仿宋_GB2312" w:hAnsi="宋体" w:eastAsia="仿宋_GB2312"/>
          <w:sz w:val="32"/>
          <w:szCs w:val="32"/>
        </w:rPr>
      </w:pPr>
      <w:r>
        <w:rPr>
          <w:rFonts w:hint="eastAsia" w:ascii="仿宋_GB2312" w:hAnsi="宋体" w:eastAsia="仿宋_GB2312"/>
          <w:b/>
          <w:sz w:val="32"/>
          <w:szCs w:val="32"/>
        </w:rPr>
        <w:t xml:space="preserve">第十五条 </w:t>
      </w:r>
      <w:r>
        <w:rPr>
          <w:rFonts w:hint="eastAsia" w:ascii="仿宋_GB2312" w:hAnsi="宋体" w:eastAsia="仿宋_GB2312"/>
          <w:sz w:val="32"/>
          <w:szCs w:val="32"/>
        </w:rPr>
        <w:t xml:space="preserve"> 原不良行为认定凭证被依法变更或撤销的，水行政主管部门应根据市场主体的更正申请重新组织认定。</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第十六条  </w:t>
      </w:r>
      <w:r>
        <w:rPr>
          <w:rFonts w:hint="eastAsia" w:ascii="仿宋_GB2312" w:hAnsi="宋体" w:eastAsia="仿宋_GB2312"/>
          <w:sz w:val="32"/>
          <w:szCs w:val="32"/>
        </w:rPr>
        <w:t>不良行为认定工作文书采取直接送达、邮寄送达、公告送达、留置送达等方式送达。</w:t>
      </w:r>
    </w:p>
    <w:p>
      <w:pPr>
        <w:pStyle w:val="8"/>
        <w:snapToGrid w:val="0"/>
        <w:spacing w:line="520" w:lineRule="exact"/>
        <w:rPr>
          <w:rFonts w:ascii="黑体" w:hAnsi="黑体" w:eastAsia="黑体"/>
          <w:b w:val="0"/>
        </w:rPr>
      </w:pPr>
      <w:r>
        <w:rPr>
          <w:rFonts w:hint="eastAsia" w:ascii="黑体" w:hAnsi="黑体" w:eastAsia="黑体"/>
          <w:b w:val="0"/>
        </w:rPr>
        <w:t>第四章</w:t>
      </w:r>
      <w:r>
        <w:rPr>
          <w:rFonts w:ascii="黑体" w:hAnsi="黑体" w:eastAsia="黑体"/>
          <w:b w:val="0"/>
        </w:rPr>
        <w:t xml:space="preserve">  </w:t>
      </w:r>
      <w:r>
        <w:rPr>
          <w:rFonts w:hint="eastAsia" w:ascii="黑体" w:hAnsi="黑体" w:eastAsia="黑体"/>
          <w:b w:val="0"/>
        </w:rPr>
        <w:t>不良行为信息的发布及应用</w:t>
      </w:r>
    </w:p>
    <w:p>
      <w:pPr>
        <w:snapToGrid w:val="0"/>
        <w:spacing w:line="520" w:lineRule="exact"/>
        <w:ind w:firstLine="643" w:firstLineChars="200"/>
        <w:jc w:val="left"/>
        <w:rPr>
          <w:rFonts w:ascii="仿宋_GB2312" w:hAnsi="宋体" w:eastAsia="仿宋_GB2312"/>
          <w:sz w:val="32"/>
          <w:szCs w:val="32"/>
        </w:rPr>
      </w:pPr>
      <w:r>
        <w:rPr>
          <w:rFonts w:hint="eastAsia" w:ascii="仿宋_GB2312" w:hAnsi="宋体" w:eastAsia="仿宋_GB2312"/>
          <w:b/>
          <w:sz w:val="32"/>
          <w:szCs w:val="32"/>
        </w:rPr>
        <w:t xml:space="preserve">第十七条  </w:t>
      </w:r>
      <w:r>
        <w:rPr>
          <w:rFonts w:hint="eastAsia" w:ascii="仿宋_GB2312" w:hAnsi="宋体" w:eastAsia="仿宋_GB2312"/>
          <w:sz w:val="32"/>
          <w:szCs w:val="32"/>
        </w:rPr>
        <w:t>水行政主管部门按本办法规定予以认定的市场主体不良行为信息，应于认定之日起5个工作日内在市水行政主管部门官方网站（网址</w:t>
      </w:r>
      <w:r>
        <w:rPr>
          <w:rFonts w:ascii="仿宋_GB2312" w:hAnsi="宋体" w:eastAsia="仿宋_GB2312"/>
          <w:sz w:val="32"/>
          <w:szCs w:val="32"/>
        </w:rPr>
        <w:t>www.szwrb.gov.cn）</w:t>
      </w:r>
      <w:r>
        <w:rPr>
          <w:rFonts w:hint="eastAsia" w:ascii="仿宋_GB2312" w:hAnsi="宋体" w:eastAsia="仿宋_GB2312"/>
          <w:sz w:val="32"/>
          <w:szCs w:val="32"/>
        </w:rPr>
        <w:t>公告，同时按规定报送上级水行政主管部门及住房建设等相关部门。</w:t>
      </w:r>
    </w:p>
    <w:p>
      <w:pPr>
        <w:snapToGrid w:val="0"/>
        <w:spacing w:line="520" w:lineRule="exact"/>
        <w:ind w:firstLine="640" w:firstLineChars="200"/>
        <w:jc w:val="left"/>
        <w:rPr>
          <w:rStyle w:val="21"/>
          <w:rFonts w:ascii="仿宋_GB2312" w:eastAsia="仿宋_GB2312"/>
          <w:sz w:val="32"/>
          <w:szCs w:val="32"/>
        </w:rPr>
      </w:pPr>
      <w:r>
        <w:rPr>
          <w:rFonts w:hint="eastAsia" w:ascii="仿宋_GB2312" w:hAnsi="宋体" w:eastAsia="仿宋_GB2312"/>
          <w:sz w:val="32"/>
          <w:szCs w:val="32"/>
        </w:rPr>
        <w:t>其中，</w:t>
      </w:r>
      <w:r>
        <w:rPr>
          <w:rStyle w:val="21"/>
          <w:rFonts w:hint="eastAsia" w:ascii="仿宋_GB2312" w:eastAsia="仿宋_GB2312"/>
          <w:sz w:val="32"/>
          <w:szCs w:val="32"/>
        </w:rPr>
        <w:t>轻微、较严重不良行为的公告期限均为一年，严重不良行为的公告期与禁止其参加深圳市水务工程投标活动的期限相同。</w:t>
      </w:r>
    </w:p>
    <w:p>
      <w:pPr>
        <w:snapToGrid w:val="0"/>
        <w:spacing w:line="520" w:lineRule="exact"/>
        <w:ind w:firstLine="643" w:firstLineChars="200"/>
        <w:rPr>
          <w:rStyle w:val="21"/>
          <w:rFonts w:ascii="仿宋_GB2312"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市场主体在不良行为发生后，应立即进行整改。对整改到位的市场主体，可由其提出缩短轻微不良行为公告期限的申请，经项目法人（建设单位）复核，并经水行政主管部门同意后，可缩短其轻微不良行为的公告期限，但缩短的期限最长不得超过6个月。</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第十九条  </w:t>
      </w:r>
      <w:r>
        <w:rPr>
          <w:rFonts w:hint="eastAsia" w:ascii="仿宋_GB2312" w:hAnsi="宋体" w:eastAsia="仿宋_GB2312"/>
          <w:sz w:val="32"/>
          <w:szCs w:val="32"/>
        </w:rPr>
        <w:t>水行政主管部门应对存在不良行为的市场主体在行政审批、资质管理、日常监管等方面从严进行监管。</w:t>
      </w:r>
    </w:p>
    <w:p>
      <w:pPr>
        <w:widowControl/>
        <w:snapToGrid w:val="0"/>
        <w:spacing w:line="520" w:lineRule="exact"/>
        <w:ind w:firstLine="643" w:firstLineChars="200"/>
        <w:jc w:val="left"/>
        <w:rPr>
          <w:rFonts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水务工程招标人及招标代理机构在招投标过程中，应主动将公告期内市场主体的轻微、较严重不良行为信息向评标、定标专家提供，作为评标、定标的重要参考。</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第二十一条  </w:t>
      </w:r>
      <w:r>
        <w:rPr>
          <w:rFonts w:hint="eastAsia" w:ascii="仿宋_GB2312" w:hAnsi="宋体" w:eastAsia="仿宋_GB2312"/>
          <w:sz w:val="32"/>
          <w:szCs w:val="32"/>
        </w:rPr>
        <w:t>对存在较严重及以上不良行为的市场主体，其在公告期内申请评优评奖时，水行政主管部门一律不予推荐，并且不得申报水务发展专项资金项目。</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第二十二条  </w:t>
      </w:r>
      <w:r>
        <w:rPr>
          <w:rFonts w:hint="eastAsia" w:ascii="仿宋_GB2312" w:hAnsi="宋体" w:eastAsia="仿宋_GB2312"/>
          <w:sz w:val="32"/>
          <w:szCs w:val="32"/>
        </w:rPr>
        <w:t>在严重不良行为公告期内，按照《深圳市水务建设市场主体严重不良行为信息在招投标方面的应用细则》（见附件6），市场主体不得参加深圳市水务工程投标</w:t>
      </w:r>
      <w:r>
        <w:rPr>
          <w:rFonts w:hint="eastAsia" w:ascii="仿宋_GB2312" w:eastAsia="仿宋_GB2312"/>
          <w:sz w:val="32"/>
          <w:szCs w:val="32"/>
        </w:rPr>
        <w:t>（含自行采购）活动</w:t>
      </w:r>
      <w:r>
        <w:rPr>
          <w:rFonts w:hint="eastAsia" w:ascii="仿宋_GB2312" w:hAnsi="宋体" w:eastAsia="仿宋_GB2312"/>
          <w:sz w:val="32"/>
          <w:szCs w:val="32"/>
        </w:rPr>
        <w:t>。</w:t>
      </w:r>
    </w:p>
    <w:p>
      <w:pPr>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被多次认定存在严重不良行为的市场主体，其不得参加深圳市</w:t>
      </w:r>
      <w:r>
        <w:rPr>
          <w:rFonts w:hint="eastAsia" w:ascii="仿宋_GB2312" w:eastAsia="仿宋_GB2312"/>
          <w:sz w:val="32"/>
          <w:szCs w:val="32"/>
        </w:rPr>
        <w:t>水务工程投标（含自行采购）活动的</w:t>
      </w:r>
      <w:r>
        <w:rPr>
          <w:rFonts w:hint="eastAsia" w:ascii="仿宋_GB2312" w:hAnsi="宋体" w:eastAsia="仿宋_GB2312"/>
          <w:sz w:val="32"/>
          <w:szCs w:val="32"/>
        </w:rPr>
        <w:t>期限实行累加制度，累加后最长期限为5年。</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第二十三条  </w:t>
      </w:r>
      <w:r>
        <w:rPr>
          <w:rFonts w:hint="eastAsia" w:ascii="仿宋_GB2312" w:hAnsi="宋体" w:eastAsia="仿宋_GB2312"/>
          <w:sz w:val="32"/>
          <w:szCs w:val="32"/>
        </w:rPr>
        <w:t>行政处罚决定书或司法文书中限制市场主体承接业务活动的期限与按本办法做出的限制期限不一致的，按时间较长的期限执行。</w:t>
      </w:r>
    </w:p>
    <w:p>
      <w:pPr>
        <w:pStyle w:val="8"/>
        <w:snapToGrid w:val="0"/>
        <w:spacing w:line="520" w:lineRule="exact"/>
        <w:rPr>
          <w:rFonts w:ascii="黑体" w:hAnsi="黑体" w:eastAsia="黑体"/>
          <w:b w:val="0"/>
        </w:rPr>
      </w:pPr>
      <w:r>
        <w:rPr>
          <w:rFonts w:hint="eastAsia" w:ascii="黑体" w:hAnsi="黑体" w:eastAsia="黑体"/>
          <w:b w:val="0"/>
        </w:rPr>
        <w:t>第五章　监督管理</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第二十四条</w:t>
      </w:r>
      <w:r>
        <w:rPr>
          <w:rFonts w:hint="eastAsia" w:ascii="仿宋_GB2312" w:hAnsi="宋体" w:eastAsia="仿宋_GB2312"/>
          <w:sz w:val="32"/>
          <w:szCs w:val="32"/>
        </w:rPr>
        <w:t xml:space="preserve">  项目法人（建设单位）应按本办法规定及时向水行政主管部门报送市场主体的不良行为信息并对其真实性负责；对应报而未报或所报送的不良行为信息不真实、不及时的，水行政主管部门应对责任单位进行通报批评。</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市场主体不良行为认定及结果应用接受社会监督，任何单位和个人对认定及应用过程中的违规行为有权举报和投诉。水行政主管部门应对举报和投诉依法依规进行调查处理。</w:t>
      </w:r>
    </w:p>
    <w:p>
      <w:pPr>
        <w:snapToGrid w:val="0"/>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第二十六条  </w:t>
      </w:r>
      <w:r>
        <w:rPr>
          <w:rFonts w:hint="eastAsia" w:ascii="仿宋_GB2312" w:hAnsi="宋体" w:eastAsia="仿宋_GB2312"/>
          <w:sz w:val="32"/>
          <w:szCs w:val="32"/>
        </w:rPr>
        <w:t>相关人员在不良行为认定和发布等工作中存在玩忽职守、弄虚作假或者徇私舞弊等行为的，依法依规追究相关责任人责任；涉嫌犯罪的，依法移送司法机关处理。</w:t>
      </w:r>
    </w:p>
    <w:p>
      <w:pPr>
        <w:pStyle w:val="8"/>
        <w:snapToGrid w:val="0"/>
        <w:spacing w:line="520" w:lineRule="exact"/>
        <w:rPr>
          <w:rFonts w:ascii="黑体" w:hAnsi="黑体" w:eastAsia="黑体"/>
          <w:b w:val="0"/>
        </w:rPr>
      </w:pPr>
      <w:r>
        <w:rPr>
          <w:rFonts w:hint="eastAsia" w:ascii="黑体" w:hAnsi="黑体" w:eastAsia="黑体"/>
          <w:b w:val="0"/>
        </w:rPr>
        <w:t>第六章　附</w:t>
      </w:r>
      <w:r>
        <w:rPr>
          <w:rFonts w:ascii="黑体" w:hAnsi="黑体" w:eastAsia="黑体"/>
          <w:b w:val="0"/>
        </w:rPr>
        <w:t xml:space="preserve">  </w:t>
      </w:r>
      <w:r>
        <w:rPr>
          <w:rFonts w:hint="eastAsia" w:ascii="黑体" w:hAnsi="黑体" w:eastAsia="黑体"/>
          <w:b w:val="0"/>
        </w:rPr>
        <w:t>则</w:t>
      </w:r>
    </w:p>
    <w:p>
      <w:pPr>
        <w:snapToGrid w:val="0"/>
        <w:spacing w:line="520" w:lineRule="exact"/>
        <w:ind w:firstLine="643" w:firstLineChars="200"/>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市水行政主管部门根据监督管理的实际情况，可对本办法附件《</w:t>
      </w:r>
      <w:r>
        <w:rPr>
          <w:rFonts w:hint="eastAsia" w:ascii="仿宋_GB2312" w:hAnsi="宋体" w:eastAsia="仿宋_GB2312"/>
          <w:sz w:val="32"/>
          <w:szCs w:val="32"/>
        </w:rPr>
        <w:t>深圳市水务建设市场主体不良行为认定标准</w:t>
      </w:r>
      <w:r>
        <w:rPr>
          <w:rFonts w:hint="eastAsia" w:ascii="仿宋_GB2312" w:eastAsia="仿宋_GB2312"/>
          <w:sz w:val="32"/>
          <w:szCs w:val="32"/>
        </w:rPr>
        <w:t>》《</w:t>
      </w:r>
      <w:r>
        <w:rPr>
          <w:rFonts w:hint="eastAsia" w:ascii="仿宋_GB2312" w:hAnsi="宋体" w:eastAsia="仿宋_GB2312"/>
          <w:sz w:val="32"/>
          <w:szCs w:val="32"/>
        </w:rPr>
        <w:t>深圳市水务建设市场主体严重不良行为信息在招投标方面的应用细则》进行修订。</w:t>
      </w:r>
    </w:p>
    <w:p>
      <w:pPr>
        <w:snapToGrid w:val="0"/>
        <w:spacing w:line="520" w:lineRule="exact"/>
        <w:ind w:firstLine="643" w:firstLineChars="200"/>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本办法由市水行政主管部门负责解释。</w:t>
      </w:r>
    </w:p>
    <w:p>
      <w:pPr>
        <w:spacing w:line="520" w:lineRule="exact"/>
        <w:ind w:firstLine="643" w:firstLineChars="200"/>
        <w:rPr>
          <w:rFonts w:ascii="仿宋_GB2312" w:hAnsi="宋体"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本办法自发布之日起施行，有效期为五年。</w:t>
      </w:r>
    </w:p>
    <w:p>
      <w:pPr>
        <w:spacing w:line="520" w:lineRule="exact"/>
        <w:ind w:firstLine="640" w:firstLineChars="200"/>
        <w:rPr>
          <w:rFonts w:ascii="仿宋_GB2312" w:hAnsi="宋体" w:eastAsia="仿宋_GB2312"/>
          <w:sz w:val="32"/>
          <w:szCs w:val="32"/>
        </w:rPr>
      </w:pPr>
    </w:p>
    <w:p>
      <w:pPr>
        <w:spacing w:line="520" w:lineRule="exact"/>
        <w:ind w:firstLine="640" w:firstLineChars="200"/>
        <w:rPr>
          <w:rFonts w:ascii="仿宋_GB2312" w:hAnsi="宋体" w:eastAsia="仿宋_GB2312"/>
          <w:sz w:val="32"/>
          <w:szCs w:val="32"/>
        </w:rPr>
      </w:pP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附件：1.深圳市水务建设市场主体不良行为认定标准</w:t>
      </w:r>
    </w:p>
    <w:p>
      <w:pPr>
        <w:spacing w:line="520" w:lineRule="exact"/>
        <w:ind w:firstLine="1664" w:firstLineChars="520"/>
        <w:rPr>
          <w:rFonts w:ascii="仿宋_GB2312" w:hAnsi="宋体" w:eastAsia="仿宋_GB2312"/>
          <w:sz w:val="32"/>
          <w:szCs w:val="32"/>
        </w:rPr>
      </w:pPr>
      <w:r>
        <w:rPr>
          <w:rFonts w:hint="eastAsia" w:ascii="仿宋_GB2312" w:hAnsi="宋体" w:eastAsia="仿宋_GB2312"/>
          <w:sz w:val="32"/>
          <w:szCs w:val="32"/>
        </w:rPr>
        <w:t>2.不良行为申报表</w:t>
      </w:r>
    </w:p>
    <w:p>
      <w:pPr>
        <w:spacing w:line="520" w:lineRule="exact"/>
        <w:ind w:firstLine="1632" w:firstLineChars="510"/>
        <w:rPr>
          <w:rFonts w:ascii="仿宋_GB2312" w:hAnsi="宋体" w:eastAsia="仿宋_GB2312"/>
          <w:sz w:val="32"/>
          <w:szCs w:val="32"/>
        </w:rPr>
      </w:pPr>
      <w:r>
        <w:rPr>
          <w:rFonts w:hint="eastAsia" w:ascii="仿宋_GB2312" w:hAnsi="宋体" w:eastAsia="仿宋_GB2312"/>
          <w:sz w:val="32"/>
          <w:szCs w:val="32"/>
        </w:rPr>
        <w:t>3.不良行为初步认定告知书</w:t>
      </w:r>
    </w:p>
    <w:p>
      <w:pPr>
        <w:spacing w:line="520" w:lineRule="exact"/>
        <w:ind w:firstLine="1632" w:firstLineChars="510"/>
        <w:rPr>
          <w:rFonts w:ascii="仿宋_GB2312" w:hAnsi="宋体" w:eastAsia="仿宋_GB2312"/>
          <w:sz w:val="32"/>
          <w:szCs w:val="32"/>
        </w:rPr>
      </w:pPr>
      <w:r>
        <w:rPr>
          <w:rFonts w:hint="eastAsia" w:ascii="仿宋_GB2312" w:hAnsi="宋体" w:eastAsia="仿宋_GB2312"/>
          <w:sz w:val="32"/>
          <w:szCs w:val="32"/>
        </w:rPr>
        <w:t>4.不良行为认定通知书</w:t>
      </w:r>
    </w:p>
    <w:p>
      <w:pPr>
        <w:spacing w:line="520" w:lineRule="exact"/>
        <w:ind w:firstLine="1600" w:firstLineChars="500"/>
        <w:rPr>
          <w:rFonts w:ascii="仿宋_GB2312" w:hAnsi="宋体" w:eastAsia="仿宋_GB2312"/>
          <w:sz w:val="32"/>
          <w:szCs w:val="32"/>
        </w:rPr>
      </w:pPr>
      <w:r>
        <w:rPr>
          <w:rFonts w:hint="eastAsia" w:ascii="仿宋_GB2312" w:hAnsi="宋体" w:eastAsia="仿宋_GB2312"/>
          <w:sz w:val="32"/>
          <w:szCs w:val="32"/>
        </w:rPr>
        <w:t>5.深圳市水务建设市场主体不良行为认定管理流</w:t>
      </w:r>
    </w:p>
    <w:p>
      <w:pPr>
        <w:spacing w:line="520" w:lineRule="exact"/>
        <w:ind w:firstLine="1920" w:firstLineChars="600"/>
        <w:rPr>
          <w:rFonts w:ascii="仿宋_GB2312" w:hAnsi="宋体" w:eastAsia="仿宋_GB2312"/>
          <w:sz w:val="32"/>
          <w:szCs w:val="32"/>
        </w:rPr>
      </w:pPr>
      <w:r>
        <w:rPr>
          <w:rFonts w:hint="eastAsia" w:ascii="仿宋_GB2312" w:hAnsi="宋体" w:eastAsia="仿宋_GB2312"/>
          <w:sz w:val="32"/>
          <w:szCs w:val="32"/>
        </w:rPr>
        <w:t>程图</w:t>
      </w:r>
    </w:p>
    <w:p>
      <w:pPr>
        <w:spacing w:line="520" w:lineRule="exact"/>
        <w:ind w:firstLine="1600" w:firstLineChars="500"/>
        <w:rPr>
          <w:rFonts w:ascii="仿宋_GB2312" w:hAnsi="宋体" w:eastAsia="仿宋_GB2312"/>
          <w:sz w:val="32"/>
          <w:szCs w:val="32"/>
        </w:rPr>
      </w:pPr>
      <w:r>
        <w:rPr>
          <w:rFonts w:hint="eastAsia" w:ascii="仿宋_GB2312" w:hAnsi="宋体" w:eastAsia="仿宋_GB2312"/>
          <w:sz w:val="32"/>
          <w:szCs w:val="32"/>
        </w:rPr>
        <w:t>6.深圳市水务建设市场主体严重不良行为信息在</w:t>
      </w:r>
    </w:p>
    <w:p>
      <w:pPr>
        <w:spacing w:line="520" w:lineRule="exact"/>
        <w:ind w:firstLine="1920" w:firstLineChars="600"/>
        <w:rPr>
          <w:rFonts w:ascii="仿宋_GB2312" w:hAnsi="宋体" w:eastAsia="仿宋_GB2312"/>
          <w:sz w:val="32"/>
          <w:szCs w:val="32"/>
        </w:rPr>
        <w:sectPr>
          <w:headerReference r:id="rId3" w:type="default"/>
          <w:footerReference r:id="rId4" w:type="default"/>
          <w:footerReference r:id="rId5" w:type="even"/>
          <w:pgSz w:w="11906" w:h="16838"/>
          <w:pgMar w:top="2098" w:right="1474" w:bottom="1984" w:left="1587" w:header="0" w:footer="1474" w:gutter="0"/>
          <w:cols w:space="425" w:num="1"/>
          <w:titlePg/>
          <w:docGrid w:type="lines" w:linePitch="312" w:charSpace="0"/>
        </w:sectPr>
      </w:pPr>
      <w:r>
        <w:rPr>
          <w:rFonts w:hint="eastAsia" w:ascii="仿宋_GB2312" w:hAnsi="宋体" w:eastAsia="仿宋_GB2312"/>
          <w:sz w:val="32"/>
          <w:szCs w:val="32"/>
        </w:rPr>
        <w:t>招投标方面的应用细则</w:t>
      </w:r>
    </w:p>
    <w:p>
      <w:pPr>
        <w:rPr>
          <w:rFonts w:ascii="黑体" w:hAnsi="黑体" w:eastAsia="黑体"/>
          <w:sz w:val="32"/>
          <w:szCs w:val="32"/>
        </w:rPr>
      </w:pPr>
      <w:r>
        <w:rPr>
          <w:rFonts w:hint="eastAsia" w:ascii="黑体" w:hAnsi="黑体" w:eastAsia="黑体"/>
          <w:sz w:val="32"/>
          <w:szCs w:val="32"/>
        </w:rPr>
        <w:t>附件1</w:t>
      </w:r>
    </w:p>
    <w:p>
      <w:pPr>
        <w:spacing w:line="560" w:lineRule="exact"/>
        <w:ind w:left="1172" w:hanging="542"/>
        <w:jc w:val="center"/>
        <w:rPr>
          <w:rFonts w:ascii="宋体" w:hAnsi="宋体"/>
          <w:b/>
          <w:sz w:val="36"/>
          <w:szCs w:val="36"/>
        </w:rPr>
      </w:pPr>
      <w:r>
        <w:rPr>
          <w:rFonts w:hint="eastAsia" w:ascii="宋体" w:hAnsi="宋体"/>
          <w:b/>
          <w:sz w:val="36"/>
          <w:szCs w:val="36"/>
        </w:rPr>
        <w:t>深圳市水务建设市场主体不良行为认定标准</w:t>
      </w:r>
    </w:p>
    <w:tbl>
      <w:tblPr>
        <w:tblStyle w:val="9"/>
        <w:tblW w:w="12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32"/>
        <w:gridCol w:w="708"/>
        <w:gridCol w:w="4771"/>
        <w:gridCol w:w="786"/>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801" w:type="dxa"/>
            <w:vAlign w:val="center"/>
          </w:tcPr>
          <w:p>
            <w:pPr>
              <w:jc w:val="center"/>
              <w:rPr>
                <w:rFonts w:ascii="黑体" w:hAnsi="黑体" w:eastAsia="黑体"/>
                <w:b/>
                <w:szCs w:val="21"/>
              </w:rPr>
            </w:pPr>
            <w:r>
              <w:rPr>
                <w:rFonts w:hint="eastAsia" w:ascii="黑体" w:hAnsi="黑体" w:eastAsia="黑体"/>
                <w:b/>
                <w:szCs w:val="21"/>
              </w:rPr>
              <w:t>市场主体</w:t>
            </w:r>
          </w:p>
        </w:tc>
        <w:tc>
          <w:tcPr>
            <w:tcW w:w="834" w:type="dxa"/>
            <w:vAlign w:val="center"/>
          </w:tcPr>
          <w:p>
            <w:pPr>
              <w:jc w:val="center"/>
              <w:rPr>
                <w:rFonts w:ascii="黑体" w:hAnsi="黑体" w:eastAsia="黑体"/>
                <w:b/>
                <w:szCs w:val="21"/>
              </w:rPr>
            </w:pPr>
            <w:r>
              <w:rPr>
                <w:rFonts w:hint="eastAsia" w:ascii="黑体" w:hAnsi="黑体" w:eastAsia="黑体"/>
                <w:b/>
                <w:szCs w:val="21"/>
              </w:rPr>
              <w:t>行为</w:t>
            </w:r>
          </w:p>
          <w:p>
            <w:pPr>
              <w:jc w:val="center"/>
              <w:rPr>
                <w:rFonts w:ascii="黑体" w:hAnsi="黑体" w:eastAsia="黑体"/>
                <w:b/>
                <w:szCs w:val="21"/>
              </w:rPr>
            </w:pPr>
            <w:r>
              <w:rPr>
                <w:rFonts w:hint="eastAsia" w:ascii="黑体" w:hAnsi="黑体" w:eastAsia="黑体"/>
                <w:b/>
                <w:szCs w:val="21"/>
              </w:rPr>
              <w:t>类别</w:t>
            </w:r>
          </w:p>
        </w:tc>
        <w:tc>
          <w:tcPr>
            <w:tcW w:w="709" w:type="dxa"/>
            <w:vAlign w:val="center"/>
          </w:tcPr>
          <w:p>
            <w:pPr>
              <w:jc w:val="center"/>
              <w:rPr>
                <w:rFonts w:ascii="黑体" w:hAnsi="黑体" w:eastAsia="黑体"/>
                <w:b/>
                <w:szCs w:val="21"/>
              </w:rPr>
            </w:pPr>
            <w:r>
              <w:rPr>
                <w:rFonts w:hint="eastAsia" w:ascii="黑体" w:hAnsi="黑体" w:eastAsia="黑体"/>
                <w:b/>
                <w:szCs w:val="21"/>
              </w:rPr>
              <w:t>序号</w:t>
            </w:r>
          </w:p>
        </w:tc>
        <w:tc>
          <w:tcPr>
            <w:tcW w:w="4791" w:type="dxa"/>
            <w:vAlign w:val="center"/>
          </w:tcPr>
          <w:p>
            <w:pPr>
              <w:jc w:val="center"/>
              <w:rPr>
                <w:rFonts w:ascii="黑体" w:hAnsi="黑体" w:eastAsia="黑体"/>
                <w:b/>
                <w:szCs w:val="21"/>
              </w:rPr>
            </w:pPr>
            <w:r>
              <w:rPr>
                <w:rFonts w:hint="eastAsia" w:ascii="黑体" w:hAnsi="黑体" w:eastAsia="黑体"/>
                <w:b/>
                <w:szCs w:val="21"/>
              </w:rPr>
              <w:t>不良行为</w:t>
            </w:r>
          </w:p>
        </w:tc>
        <w:tc>
          <w:tcPr>
            <w:tcW w:w="745" w:type="dxa"/>
            <w:vAlign w:val="center"/>
          </w:tcPr>
          <w:p>
            <w:pPr>
              <w:jc w:val="center"/>
              <w:rPr>
                <w:rFonts w:ascii="黑体" w:hAnsi="黑体" w:eastAsia="黑体"/>
                <w:b/>
                <w:szCs w:val="21"/>
              </w:rPr>
            </w:pPr>
            <w:r>
              <w:rPr>
                <w:rFonts w:hint="eastAsia" w:ascii="黑体" w:hAnsi="黑体" w:eastAsia="黑体"/>
                <w:b/>
                <w:szCs w:val="21"/>
              </w:rPr>
              <w:t>扣分值</w:t>
            </w:r>
          </w:p>
        </w:tc>
        <w:tc>
          <w:tcPr>
            <w:tcW w:w="4742" w:type="dxa"/>
            <w:vAlign w:val="center"/>
          </w:tcPr>
          <w:p>
            <w:pPr>
              <w:jc w:val="center"/>
              <w:rPr>
                <w:rFonts w:ascii="黑体" w:hAnsi="黑体" w:eastAsia="黑体"/>
                <w:b/>
                <w:szCs w:val="21"/>
              </w:rPr>
            </w:pPr>
            <w:r>
              <w:rPr>
                <w:rFonts w:hint="eastAsia" w:ascii="黑体" w:hAnsi="黑体" w:eastAsia="黑体"/>
                <w:b/>
                <w:szCs w:val="21"/>
              </w:rPr>
              <w:t>法律法规、规章、规程规范及相关文件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80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1、勘察单位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超越本单位资质等级承揽工程的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以欺骗手段取得资质证书承揽工程的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允许其他单位或者个人以本单位名义承揽工程的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以他人名义投标或者以其他方式弄虚作假，骗取中标的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w:t>
            </w:r>
          </w:p>
        </w:tc>
        <w:tc>
          <w:tcPr>
            <w:tcW w:w="4791" w:type="dxa"/>
            <w:vMerge w:val="restart"/>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将中标项目转让给他人的，将中标项目肢解后分别转让给他人的，违规将中标项目的部分主体、关键性工作分包给他人的，或者分包人再次分包的</w:t>
            </w:r>
          </w:p>
        </w:tc>
        <w:tc>
          <w:tcPr>
            <w:tcW w:w="745" w:type="dxa"/>
            <w:vMerge w:val="restart"/>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center"/>
              <w:rPr>
                <w:rFonts w:ascii="仿宋_GB2312" w:hAnsi="宋体" w:eastAsia="仿宋_GB2312"/>
                <w:sz w:val="18"/>
                <w:szCs w:val="18"/>
              </w:rPr>
            </w:pPr>
          </w:p>
        </w:tc>
        <w:tc>
          <w:tcPr>
            <w:tcW w:w="4791" w:type="dxa"/>
            <w:vMerge w:val="continue"/>
            <w:vAlign w:val="center"/>
          </w:tcPr>
          <w:p>
            <w:pPr>
              <w:spacing w:line="240" w:lineRule="exact"/>
              <w:jc w:val="left"/>
              <w:rPr>
                <w:rFonts w:ascii="仿宋_GB2312" w:hAnsi="宋体" w:eastAsia="仿宋_GB2312"/>
                <w:sz w:val="18"/>
                <w:szCs w:val="18"/>
              </w:rPr>
            </w:pPr>
          </w:p>
        </w:tc>
        <w:tc>
          <w:tcPr>
            <w:tcW w:w="745" w:type="dxa"/>
            <w:vMerge w:val="continue"/>
            <w:vAlign w:val="center"/>
          </w:tcPr>
          <w:p>
            <w:pPr>
              <w:spacing w:line="240" w:lineRule="exact"/>
              <w:jc w:val="center"/>
              <w:rPr>
                <w:rFonts w:ascii="仿宋_GB2312" w:hAnsi="宋体" w:eastAsia="仿宋_GB2312"/>
                <w:sz w:val="18"/>
                <w:szCs w:val="18"/>
              </w:rPr>
            </w:pP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非因不可抗力原因，不按照与招标人订立的合同履行义务的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以联合体形式投标的，联合体成员又以自己名义单独投标，或者参加其他联合体投同一个标的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《水利工程建设项目勘察（测）设计招标投标管理办法》第四十一条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1、勘察单位</w:t>
            </w:r>
          </w:p>
        </w:tc>
        <w:tc>
          <w:tcPr>
            <w:tcW w:w="834" w:type="dxa"/>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投标人以他人名义投标，利用伪造、转让、租借、无效的资质证书参加投标，或者请其他单位在自己编制的投标文件上代为签字盖章，弄虚作假，骗取中标的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未按照工程建设强制性标准进行勘察的</w:t>
            </w:r>
          </w:p>
        </w:tc>
        <w:tc>
          <w:tcPr>
            <w:tcW w:w="745" w:type="dxa"/>
            <w:vAlign w:val="center"/>
          </w:tcPr>
          <w:p>
            <w:pPr>
              <w:spacing w:line="200" w:lineRule="exact"/>
              <w:jc w:val="center"/>
              <w:rPr>
                <w:rFonts w:ascii="仿宋_GB2312" w:hAnsi="宋体" w:eastAsia="仿宋_GB2312"/>
                <w:sz w:val="18"/>
                <w:szCs w:val="18"/>
              </w:rPr>
            </w:pPr>
            <w:r>
              <w:rPr>
                <w:rFonts w:hint="eastAsia" w:ascii="仿宋_GB2312" w:hAnsi="黑体" w:eastAsia="仿宋_GB2312"/>
                <w:sz w:val="15"/>
                <w:szCs w:val="15"/>
              </w:rPr>
              <w:t>40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《建设工程勘察设计管理条例》第四十一条</w:t>
            </w:r>
          </w:p>
          <w:p>
            <w:pPr>
              <w:jc w:val="left"/>
              <w:rPr>
                <w:rFonts w:ascii="仿宋_GB2312" w:hAnsi="宋体" w:eastAsia="仿宋_GB2312"/>
                <w:sz w:val="15"/>
                <w:szCs w:val="15"/>
              </w:rPr>
            </w:pPr>
            <w:r>
              <w:rPr>
                <w:rFonts w:hint="eastAsia" w:ascii="仿宋_GB2312" w:hAnsi="宋体" w:eastAsia="仿宋_GB2312"/>
                <w:sz w:val="15"/>
                <w:szCs w:val="15"/>
              </w:rPr>
              <w:t>《建设工程质量管理条例》第六十三条</w:t>
            </w:r>
          </w:p>
          <w:p>
            <w:pPr>
              <w:jc w:val="left"/>
              <w:rPr>
                <w:rFonts w:ascii="仿宋_GB2312" w:hAnsi="宋体" w:eastAsia="仿宋_GB2312"/>
                <w:sz w:val="15"/>
                <w:szCs w:val="15"/>
              </w:rPr>
            </w:pPr>
            <w:r>
              <w:rPr>
                <w:rFonts w:hint="eastAsia" w:ascii="仿宋_GB2312" w:hAnsi="宋体" w:eastAsia="仿宋_GB2312"/>
                <w:sz w:val="15"/>
                <w:szCs w:val="15"/>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未按照其他相关规范和规定进行勘察的</w:t>
            </w:r>
          </w:p>
        </w:tc>
        <w:tc>
          <w:tcPr>
            <w:tcW w:w="745" w:type="dxa"/>
            <w:vAlign w:val="center"/>
          </w:tcPr>
          <w:p>
            <w:pPr>
              <w:spacing w:line="200" w:lineRule="exact"/>
              <w:jc w:val="center"/>
              <w:rPr>
                <w:rFonts w:ascii="仿宋_GB2312" w:hAnsi="黑体" w:eastAsia="仿宋_GB2312"/>
                <w:sz w:val="15"/>
                <w:szCs w:val="15"/>
              </w:rPr>
            </w:pPr>
            <w:r>
              <w:rPr>
                <w:rFonts w:hint="eastAsia" w:ascii="仿宋_GB2312" w:hAnsi="黑体" w:eastAsia="仿宋_GB2312"/>
                <w:sz w:val="15"/>
                <w:szCs w:val="15"/>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勘察水平不高或不根据现场实际情况进行科学和理性勘察，导致勘察错误或投资浪费、设计变更、施工协调工作量增加、工期延误的</w:t>
            </w:r>
          </w:p>
        </w:tc>
        <w:tc>
          <w:tcPr>
            <w:tcW w:w="745" w:type="dxa"/>
            <w:vAlign w:val="center"/>
          </w:tcPr>
          <w:p>
            <w:pPr>
              <w:spacing w:line="200" w:lineRule="exact"/>
              <w:jc w:val="center"/>
              <w:rPr>
                <w:rFonts w:ascii="仿宋_GB2312" w:hAnsi="黑体" w:eastAsia="仿宋_GB2312"/>
                <w:sz w:val="15"/>
                <w:szCs w:val="15"/>
              </w:rPr>
            </w:pPr>
            <w:r>
              <w:rPr>
                <w:rFonts w:hint="eastAsia" w:ascii="仿宋_GB2312" w:hAnsi="黑体" w:eastAsia="仿宋_GB2312"/>
                <w:sz w:val="15"/>
                <w:szCs w:val="15"/>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《招标投标法》第六十条</w:t>
            </w:r>
          </w:p>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《建设工程勘察设计管理条例》第四十条</w:t>
            </w:r>
          </w:p>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提供虚假勘察资料的</w:t>
            </w:r>
          </w:p>
        </w:tc>
        <w:tc>
          <w:tcPr>
            <w:tcW w:w="745" w:type="dxa"/>
            <w:vAlign w:val="center"/>
          </w:tcPr>
          <w:p>
            <w:pPr>
              <w:spacing w:line="200" w:lineRule="exact"/>
              <w:jc w:val="center"/>
              <w:rPr>
                <w:rFonts w:ascii="仿宋_GB2312" w:hAnsi="黑体" w:eastAsia="仿宋_GB2312"/>
                <w:sz w:val="15"/>
                <w:szCs w:val="15"/>
              </w:rPr>
            </w:pPr>
            <w:r>
              <w:rPr>
                <w:rFonts w:hint="eastAsia" w:ascii="仿宋_GB2312" w:hAnsi="黑体" w:eastAsia="仿宋_GB2312"/>
                <w:sz w:val="15"/>
                <w:szCs w:val="15"/>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《建设工程质量管理条例》第二十条</w:t>
            </w:r>
          </w:p>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《建设工程勘察设计管理条例》第二十六条</w:t>
            </w:r>
          </w:p>
          <w:p>
            <w:pPr>
              <w:jc w:val="left"/>
              <w:rPr>
                <w:rFonts w:ascii="仿宋_GB2312" w:hAnsi="宋体"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由于勘察单位责任造成质量事故的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《建设工程勘察设计管理条例》第四十条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未按照规定设立安全生产管理机构或者配备安全生产管理人员的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17</w:t>
            </w:r>
          </w:p>
        </w:tc>
        <w:tc>
          <w:tcPr>
            <w:tcW w:w="4791" w:type="dxa"/>
            <w:vAlign w:val="center"/>
          </w:tcPr>
          <w:p>
            <w:pPr>
              <w:jc w:val="left"/>
              <w:rPr>
                <w:rFonts w:ascii="仿宋_GB2312" w:hAnsi="宋体" w:eastAsia="仿宋_GB2312"/>
                <w:spacing w:val="-8"/>
                <w:sz w:val="18"/>
                <w:szCs w:val="18"/>
              </w:rPr>
            </w:pPr>
            <w:r>
              <w:rPr>
                <w:rFonts w:hint="eastAsia" w:ascii="仿宋_GB2312" w:hAnsi="宋体" w:eastAsia="仿宋_GB2312"/>
                <w:spacing w:val="-8"/>
                <w:sz w:val="18"/>
                <w:szCs w:val="18"/>
              </w:rPr>
              <w:t>未按照规定对从业人员进行安全生产教育和培训，或者未按照规定如实告知从业人员有关的安全生产事项的</w:t>
            </w:r>
          </w:p>
        </w:tc>
        <w:tc>
          <w:tcPr>
            <w:tcW w:w="745" w:type="dxa"/>
            <w:vAlign w:val="center"/>
          </w:tcPr>
          <w:p>
            <w:pPr>
              <w:spacing w:line="32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特种作业人员未按照规定经专门的安全作业培训并取得特种作业操作资格证书，上岗作业的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1、勘察单位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w:t>
            </w:r>
          </w:p>
        </w:tc>
        <w:tc>
          <w:tcPr>
            <w:tcW w:w="4791" w:type="dxa"/>
            <w:vAlign w:val="center"/>
          </w:tcPr>
          <w:p>
            <w:pPr>
              <w:spacing w:line="200" w:lineRule="exact"/>
              <w:jc w:val="left"/>
              <w:rPr>
                <w:rFonts w:ascii="仿宋_GB2312" w:hAnsi="宋体" w:eastAsia="仿宋_GB2312"/>
                <w:sz w:val="15"/>
                <w:szCs w:val="15"/>
              </w:rPr>
            </w:pPr>
            <w:r>
              <w:rPr>
                <w:rFonts w:hint="eastAsia" w:ascii="仿宋_GB2312" w:hAnsi="宋体" w:eastAsia="仿宋_GB2312"/>
                <w:sz w:val="15"/>
                <w:szCs w:val="15"/>
              </w:rPr>
              <w:t>未按规定在施工现场的以下危险部位（包括但不限于）设置明显的安全警示标志或设置的安全警示标志不符合要求的：施工现场入口处、施工起重机械、临时用电设施、脚手架、出入通道口、楼梯口、电梯井口、孔洞口、桥梁口、隧道口、基坑边沿、爆破物及有害危险气体和液体存放处等危险部位。</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每处扣3分</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《建设工程安全生产管理条例》第二十八、六十二条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91" w:type="dxa"/>
            <w:vAlign w:val="center"/>
          </w:tcPr>
          <w:p>
            <w:pPr>
              <w:spacing w:line="200" w:lineRule="exact"/>
              <w:jc w:val="left"/>
              <w:rPr>
                <w:rFonts w:ascii="仿宋_GB2312" w:hAnsi="宋体" w:eastAsia="仿宋_GB2312"/>
                <w:sz w:val="15"/>
                <w:szCs w:val="15"/>
              </w:rPr>
            </w:pPr>
            <w:r>
              <w:rPr>
                <w:rFonts w:hint="eastAsia" w:ascii="仿宋_GB2312" w:hAnsi="宋体" w:eastAsia="仿宋_GB2312"/>
                <w:sz w:val="15"/>
                <w:szCs w:val="15"/>
              </w:rPr>
              <w:t>安全设备（包括但不限于：施工起重机械、临时用电设施、脚手架、安全通道、安全护栏、防坠落设施、吊篮、施工机具等）的安装、使用、检测、改造和报废不符合国家标准或者行业标准的</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21</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未对安全设备进行经常性维护、保养和定期检测的</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22</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未为从业人员提供符合国家标准或者行业标准的劳动防护用品的</w:t>
            </w:r>
          </w:p>
        </w:tc>
        <w:tc>
          <w:tcPr>
            <w:tcW w:w="745" w:type="dxa"/>
            <w:shd w:val="clear" w:color="auto" w:fill="auto"/>
            <w:vAlign w:val="center"/>
          </w:tcPr>
          <w:p>
            <w:pPr>
              <w:spacing w:line="240" w:lineRule="exact"/>
              <w:ind w:firstLine="220" w:firstLineChars="100"/>
              <w:rPr>
                <w:rFonts w:ascii="仿宋_GB2312" w:hAnsi="宋体" w:eastAsia="仿宋_GB2312"/>
                <w:spacing w:val="-10"/>
                <w:sz w:val="24"/>
              </w:rPr>
            </w:pPr>
            <w:r>
              <w:rPr>
                <w:rFonts w:hint="eastAsia" w:ascii="仿宋_GB2312" w:hAnsi="黑体" w:eastAsia="仿宋_GB2312"/>
                <w:spacing w:val="-10"/>
                <w:sz w:val="24"/>
              </w:rPr>
              <w:t>3</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23</w:t>
            </w:r>
          </w:p>
        </w:tc>
        <w:tc>
          <w:tcPr>
            <w:tcW w:w="4791" w:type="dxa"/>
            <w:vAlign w:val="center"/>
          </w:tcPr>
          <w:p>
            <w:pPr>
              <w:spacing w:line="240" w:lineRule="exact"/>
              <w:jc w:val="left"/>
              <w:rPr>
                <w:rFonts w:ascii="仿宋_GB2312" w:hAnsi="宋体" w:eastAsia="仿宋_GB2312"/>
                <w:spacing w:val="-4"/>
                <w:sz w:val="18"/>
                <w:szCs w:val="18"/>
              </w:rPr>
            </w:pPr>
            <w:r>
              <w:rPr>
                <w:rFonts w:hint="eastAsia" w:ascii="仿宋_GB2312" w:hAnsi="宋体" w:eastAsia="仿宋_GB2312"/>
                <w:spacing w:val="-4"/>
                <w:sz w:val="18"/>
                <w:szCs w:val="18"/>
              </w:rPr>
              <w:t>特种设备以及危险物品的容器、运输工具未经取得专业资质的机构检测、检验合格，取得安全使用证或者安全标志，投入使用的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24</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使用国家明令淘汰、禁止使用的危及生产安全的工艺、设备的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25</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与从业人员订立协议，免除或者减轻其对从业人员因生产安全事故伤亡依法应承担的责任的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不按照勘察合同履行义务的其他行为</w:t>
            </w:r>
            <w:r>
              <w:rPr>
                <w:rFonts w:hint="eastAsia" w:ascii="仿宋_GB2312" w:hAnsi="宋体" w:eastAsia="仿宋_GB2312"/>
                <w:spacing w:val="-4"/>
                <w:sz w:val="18"/>
                <w:szCs w:val="18"/>
              </w:rPr>
              <w:t>（含不参加或拖延参加水行政主管部门作出的参加抢险救灾工作的行为）</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每项扣3分</w:t>
            </w:r>
          </w:p>
        </w:tc>
        <w:tc>
          <w:tcPr>
            <w:tcW w:w="4742"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27</w:t>
            </w:r>
          </w:p>
        </w:tc>
        <w:tc>
          <w:tcPr>
            <w:tcW w:w="4791" w:type="dxa"/>
            <w:tcBorders>
              <w:bottom w:val="single" w:color="auto" w:sz="4" w:space="0"/>
            </w:tcBorders>
            <w:vAlign w:val="center"/>
          </w:tcPr>
          <w:p>
            <w:pPr>
              <w:spacing w:line="240" w:lineRule="exact"/>
              <w:jc w:val="left"/>
              <w:rPr>
                <w:rFonts w:ascii="仿宋_GB2312" w:hAnsi="宋体" w:eastAsia="仿宋_GB2312"/>
                <w:sz w:val="15"/>
                <w:szCs w:val="15"/>
              </w:rPr>
            </w:pPr>
            <w:r>
              <w:rPr>
                <w:rFonts w:hint="eastAsia" w:ascii="仿宋_GB2312" w:eastAsia="仿宋_GB2312"/>
                <w:sz w:val="18"/>
                <w:szCs w:val="18"/>
              </w:rPr>
              <w:t>存在故意拖欠工资行为的</w:t>
            </w:r>
          </w:p>
        </w:tc>
        <w:tc>
          <w:tcPr>
            <w:tcW w:w="745" w:type="dxa"/>
            <w:tcBorders>
              <w:bottom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Merge w:val="restart"/>
            <w:tcBorders>
              <w:bottom w:val="nil"/>
            </w:tcBorders>
            <w:vAlign w:val="center"/>
          </w:tcPr>
          <w:p>
            <w:pPr>
              <w:spacing w:line="240" w:lineRule="exact"/>
              <w:rPr>
                <w:rFonts w:ascii="仿宋_GB2312" w:hAnsi="宋体" w:eastAsia="仿宋_GB2312"/>
                <w:sz w:val="18"/>
                <w:szCs w:val="18"/>
              </w:rPr>
            </w:pPr>
            <w:r>
              <w:rPr>
                <w:rFonts w:hint="eastAsia" w:ascii="仿宋_GB2312" w:eastAsia="仿宋_GB2312"/>
                <w:spacing w:val="-10"/>
                <w:sz w:val="18"/>
                <w:szCs w:val="18"/>
              </w:rPr>
              <w:t>《国务院办公厅关于促进建筑业持续健康发展的意见》（国办发</w:t>
            </w:r>
            <w:r>
              <w:rPr>
                <w:rFonts w:ascii="仿宋_GB2312" w:eastAsia="仿宋_GB2312"/>
                <w:spacing w:val="-10"/>
                <w:sz w:val="18"/>
                <w:szCs w:val="18"/>
              </w:rPr>
              <w:t>[2017]19号第（</w:t>
            </w:r>
            <w:r>
              <w:rPr>
                <w:rFonts w:hint="eastAsia" w:ascii="仿宋_GB2312" w:eastAsia="仿宋_GB2312"/>
                <w:spacing w:val="-10"/>
                <w:sz w:val="18"/>
                <w:szCs w:val="18"/>
              </w:rPr>
              <w:t>十三）款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28</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eastAsia="仿宋_GB2312"/>
                <w:sz w:val="18"/>
                <w:szCs w:val="18"/>
              </w:rPr>
              <w:t>因故意拖欠工资导致工作人员上访影响社会稳定或人员死亡的</w:t>
            </w:r>
          </w:p>
        </w:tc>
        <w:tc>
          <w:tcPr>
            <w:tcW w:w="745" w:type="dxa"/>
            <w:tcBorders>
              <w:bottom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Merge w:val="continue"/>
            <w:tcBorders>
              <w:bottom w:val="nil"/>
            </w:tcBorders>
            <w:vAlign w:val="center"/>
          </w:tcPr>
          <w:p>
            <w:pPr>
              <w:spacing w:line="200" w:lineRule="exact"/>
              <w:rPr>
                <w:rFonts w:ascii="仿宋_GB2312" w:hAnsi="宋体" w:eastAsia="仿宋_GB2312"/>
                <w:spacing w:val="-1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restart"/>
            <w:tcBorders>
              <w:top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2、设计单位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超越本单位资质等级承揽工程的</w:t>
            </w:r>
          </w:p>
        </w:tc>
        <w:tc>
          <w:tcPr>
            <w:tcW w:w="745" w:type="dxa"/>
            <w:tcBorders>
              <w:top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tcBorders>
              <w:top w:val="nil"/>
            </w:tcBorders>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30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31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以欺骗手段取得资质证书承揽工程的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32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允许其他单位或者个人以本单位名义承揽工程的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34</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以他人名义投标或者以其他方式弄虚作假，骗取中标的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35</w:t>
            </w:r>
          </w:p>
        </w:tc>
        <w:tc>
          <w:tcPr>
            <w:tcW w:w="4791" w:type="dxa"/>
            <w:vMerge w:val="restart"/>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将中标项目转让给他人的，将中标项目肢解后分别转让给他人的，违反本法规定将中标项目的部分主体、关键性工作分包给他人的，或者分包人再次分包的</w:t>
            </w:r>
          </w:p>
        </w:tc>
        <w:tc>
          <w:tcPr>
            <w:tcW w:w="745"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continue"/>
            <w:shd w:val="clear" w:color="auto" w:fill="auto"/>
            <w:vAlign w:val="center"/>
          </w:tcPr>
          <w:p>
            <w:pPr>
              <w:jc w:val="center"/>
              <w:rPr>
                <w:rFonts w:ascii="仿宋_GB2312" w:hAnsi="宋体" w:eastAsia="仿宋_GB2312"/>
                <w:sz w:val="18"/>
                <w:szCs w:val="18"/>
              </w:rPr>
            </w:pPr>
          </w:p>
        </w:tc>
        <w:tc>
          <w:tcPr>
            <w:tcW w:w="4791" w:type="dxa"/>
            <w:vMerge w:val="continue"/>
            <w:vAlign w:val="center"/>
          </w:tcPr>
          <w:p>
            <w:pPr>
              <w:spacing w:line="240" w:lineRule="exact"/>
              <w:jc w:val="left"/>
              <w:rPr>
                <w:rFonts w:ascii="仿宋_GB2312" w:hAnsi="宋体" w:eastAsia="仿宋_GB2312"/>
                <w:sz w:val="18"/>
                <w:szCs w:val="18"/>
              </w:rPr>
            </w:pPr>
          </w:p>
        </w:tc>
        <w:tc>
          <w:tcPr>
            <w:tcW w:w="745" w:type="dxa"/>
            <w:vMerge w:val="continue"/>
            <w:vAlign w:val="center"/>
          </w:tcPr>
          <w:p>
            <w:pPr>
              <w:spacing w:line="240" w:lineRule="exact"/>
              <w:jc w:val="center"/>
              <w:rPr>
                <w:rFonts w:ascii="仿宋_GB2312" w:hAnsi="宋体" w:eastAsia="仿宋_GB2312"/>
                <w:sz w:val="18"/>
                <w:szCs w:val="18"/>
              </w:rPr>
            </w:pP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非因不可抗力原因，不按照与招标人订立的合同履行义务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tcBorders>
              <w:bottom w:val="single" w:color="auto" w:sz="4" w:space="0"/>
            </w:tcBorders>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37</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以联合体形式投标的，联合体成员又以自己名义单独投标，或者参加其他联合体投同一个标的</w:t>
            </w:r>
          </w:p>
        </w:tc>
        <w:tc>
          <w:tcPr>
            <w:tcW w:w="745" w:type="dxa"/>
            <w:tcBorders>
              <w:bottom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《水利工程建设项目勘察（测）设计招标投标管理办法》第四十一条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801" w:type="dxa"/>
            <w:vMerge w:val="continue"/>
            <w:tcBorders>
              <w:bottom w:val="single" w:color="auto" w:sz="4" w:space="0"/>
            </w:tcBorders>
            <w:shd w:val="clear" w:color="auto" w:fill="auto"/>
            <w:vAlign w:val="center"/>
          </w:tcPr>
          <w:p>
            <w:pPr>
              <w:jc w:val="center"/>
              <w:rPr>
                <w:rFonts w:ascii="仿宋_GB2312" w:hAnsi="宋体" w:eastAsia="仿宋_GB2312"/>
                <w:b/>
                <w:sz w:val="18"/>
                <w:szCs w:val="18"/>
              </w:rPr>
            </w:pPr>
          </w:p>
        </w:tc>
        <w:tc>
          <w:tcPr>
            <w:tcW w:w="834" w:type="dxa"/>
            <w:vMerge w:val="continue"/>
            <w:tcBorders>
              <w:bottom w:val="single" w:color="auto" w:sz="4" w:space="0"/>
            </w:tcBorders>
            <w:vAlign w:val="center"/>
          </w:tcPr>
          <w:p>
            <w:pPr>
              <w:jc w:val="center"/>
              <w:rPr>
                <w:rFonts w:ascii="仿宋_GB2312" w:hAnsi="宋体" w:eastAsia="仿宋_GB2312"/>
                <w:b/>
                <w:sz w:val="18"/>
                <w:szCs w:val="18"/>
              </w:rPr>
            </w:pPr>
          </w:p>
        </w:tc>
        <w:tc>
          <w:tcPr>
            <w:tcW w:w="709" w:type="dxa"/>
            <w:tcBorders>
              <w:top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38</w:t>
            </w:r>
          </w:p>
        </w:tc>
        <w:tc>
          <w:tcPr>
            <w:tcW w:w="479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投标人以他人名义投标，利用伪造、转让、租借、无效的资质证书参加投标，或者请其他单位在自己编制的投标文件上代为签字盖章，弄虚作假，骗取中标的</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《工程建设项目勘察设计招标投标办法》第五十二条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801" w:type="dxa"/>
            <w:vMerge w:val="restart"/>
            <w:tcBorders>
              <w:top w:val="single" w:color="auto" w:sz="4" w:space="0"/>
            </w:tcBorders>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2、设计单位</w:t>
            </w:r>
          </w:p>
        </w:tc>
        <w:tc>
          <w:tcPr>
            <w:tcW w:w="834" w:type="dxa"/>
            <w:vMerge w:val="restart"/>
            <w:tcBorders>
              <w:top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tcBorders>
              <w:top w:val="single" w:color="auto" w:sz="4" w:space="0"/>
            </w:tcBorders>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39</w:t>
            </w:r>
          </w:p>
        </w:tc>
        <w:tc>
          <w:tcPr>
            <w:tcW w:w="4791" w:type="dxa"/>
            <w:tcBorders>
              <w:top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未根据勘察成果文件进行工程设计的</w:t>
            </w:r>
          </w:p>
        </w:tc>
        <w:tc>
          <w:tcPr>
            <w:tcW w:w="745" w:type="dxa"/>
            <w:tcBorders>
              <w:top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tcBorders>
              <w:top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未按照工程建设强制性标准进行设计的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《建设工程勘察设计管理条例》第四十一条</w:t>
            </w:r>
          </w:p>
          <w:p>
            <w:pPr>
              <w:jc w:val="left"/>
              <w:rPr>
                <w:rFonts w:ascii="仿宋_GB2312" w:hAnsi="宋体" w:eastAsia="仿宋_GB2312"/>
                <w:sz w:val="15"/>
                <w:szCs w:val="15"/>
              </w:rPr>
            </w:pPr>
            <w:r>
              <w:rPr>
                <w:rFonts w:hint="eastAsia" w:ascii="仿宋_GB2312" w:hAnsi="宋体" w:eastAsia="仿宋_GB2312"/>
                <w:sz w:val="15"/>
                <w:szCs w:val="15"/>
              </w:rPr>
              <w:t>《建设工程质量管理条例》第六十三条</w:t>
            </w:r>
          </w:p>
          <w:p>
            <w:pPr>
              <w:jc w:val="left"/>
              <w:rPr>
                <w:rFonts w:ascii="仿宋_GB2312" w:hAnsi="宋体" w:eastAsia="仿宋_GB2312"/>
                <w:sz w:val="18"/>
                <w:szCs w:val="18"/>
              </w:rPr>
            </w:pPr>
            <w:r>
              <w:rPr>
                <w:rFonts w:hint="eastAsia" w:ascii="仿宋_GB2312" w:hAnsi="宋体" w:eastAsia="仿宋_GB2312"/>
                <w:sz w:val="15"/>
                <w:szCs w:val="15"/>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采用新结构、新材料、新工艺的建设工程和特殊结构的建设工程，设计单位未在设计中提出保障施工作业人员安全和预防生产安全事故的措施建议的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未按照审查意见修改项目建议书</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43</w:t>
            </w:r>
          </w:p>
        </w:tc>
        <w:tc>
          <w:tcPr>
            <w:tcW w:w="4791" w:type="dxa"/>
            <w:vAlign w:val="center"/>
          </w:tcPr>
          <w:p>
            <w:pPr>
              <w:jc w:val="left"/>
              <w:rPr>
                <w:rFonts w:ascii="仿宋_GB2312" w:hAnsi="宋体" w:eastAsia="仿宋_GB2312"/>
                <w:sz w:val="18"/>
                <w:szCs w:val="18"/>
              </w:rPr>
            </w:pPr>
            <w:r>
              <w:rPr>
                <w:rFonts w:hint="eastAsia" w:ascii="仿宋_GB2312" w:eastAsia="仿宋_GB2312"/>
                <w:sz w:val="18"/>
                <w:szCs w:val="18"/>
              </w:rPr>
              <w:t>未按照项目建议书批复意见、建设工程方案设计核查、建设项目规划选址意见书、用地预审、环评、地质灾害危险性评估报告、节能评估等审查意见编制可行性研究报告、估算未经批准突破投资控制原则的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每项扣10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44</w:t>
            </w:r>
          </w:p>
        </w:tc>
        <w:tc>
          <w:tcPr>
            <w:tcW w:w="4791" w:type="dxa"/>
            <w:vAlign w:val="center"/>
          </w:tcPr>
          <w:p>
            <w:pPr>
              <w:jc w:val="left"/>
              <w:rPr>
                <w:rFonts w:ascii="仿宋_GB2312" w:hAnsi="宋体" w:eastAsia="仿宋_GB2312"/>
                <w:sz w:val="18"/>
                <w:szCs w:val="18"/>
              </w:rPr>
            </w:pPr>
            <w:r>
              <w:rPr>
                <w:rFonts w:hint="eastAsia" w:ascii="仿宋_GB2312" w:eastAsia="仿宋_GB2312"/>
                <w:sz w:val="18"/>
                <w:szCs w:val="18"/>
              </w:rPr>
              <w:t>未按照可研批复意见、建设用地规划许可、环评、地质灾害危险性评估报告、节能评估、水保等相关前期审查意见编制初步设计报告、概算未经批准突破投资控制原则的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每项扣10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45</w:t>
            </w:r>
          </w:p>
        </w:tc>
        <w:tc>
          <w:tcPr>
            <w:tcW w:w="4791" w:type="dxa"/>
            <w:vAlign w:val="center"/>
          </w:tcPr>
          <w:p>
            <w:pPr>
              <w:jc w:val="left"/>
              <w:rPr>
                <w:rFonts w:ascii="仿宋_GB2312" w:hAnsi="宋体" w:eastAsia="仿宋_GB2312"/>
                <w:sz w:val="18"/>
                <w:szCs w:val="18"/>
              </w:rPr>
            </w:pPr>
            <w:r>
              <w:rPr>
                <w:rFonts w:hint="eastAsia" w:ascii="仿宋_GB2312" w:eastAsia="仿宋_GB2312"/>
                <w:sz w:val="18"/>
                <w:szCs w:val="18"/>
              </w:rPr>
              <w:t>未按照初步设计及概算批复意见编制施工图，出现漏项或违背限额设计原则，造成变更或工期延误的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每项扣10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不按照海绵城市设计理念和标准进行设计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2、设计单位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设计依据的基本资料不完整、不准确、不可靠，设计论证不充分，计算成果不准确；或不根据现场实际情况进行科学理性设计导致投资浪费、设计变更、施工协调工作量增加或工期延误等</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未按照设计合同派出设计代表配合施工</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《水利工程质量管理规定》第二十八条</w:t>
            </w:r>
          </w:p>
          <w:p>
            <w:pPr>
              <w:jc w:val="left"/>
              <w:rPr>
                <w:rFonts w:ascii="仿宋_GB2312" w:hAnsi="宋体" w:eastAsia="仿宋_GB2312"/>
                <w:sz w:val="18"/>
                <w:szCs w:val="18"/>
              </w:rPr>
            </w:pPr>
            <w:r>
              <w:rPr>
                <w:rFonts w:hint="eastAsia" w:ascii="仿宋_GB2312" w:hAnsi="宋体" w:eastAsia="仿宋_GB2312"/>
                <w:sz w:val="18"/>
                <w:szCs w:val="18"/>
              </w:rPr>
              <w:t>设计单位与建设单位签订的设计合同</w:t>
            </w:r>
          </w:p>
        </w:tc>
      </w:tr>
      <w:tr>
        <w:tblPrEx>
          <w:tblCellMar>
            <w:top w:w="0" w:type="dxa"/>
            <w:left w:w="108" w:type="dxa"/>
            <w:bottom w:w="0" w:type="dxa"/>
            <w:right w:w="108" w:type="dxa"/>
          </w:tblCellMar>
        </w:tblPrEx>
        <w:trPr>
          <w:trHeight w:val="63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由于设计单位责任造成质量事故的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《建设工程勘察设计管理条例》第四十条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指定建筑材料、建筑构配件的生产厂家或供应商的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不接受工程监督机构监督的</w:t>
            </w:r>
          </w:p>
        </w:tc>
        <w:tc>
          <w:tcPr>
            <w:tcW w:w="745" w:type="dxa"/>
            <w:vAlign w:val="center"/>
          </w:tcPr>
          <w:p>
            <w:pPr>
              <w:jc w:val="center"/>
              <w:rPr>
                <w:rFonts w:ascii="仿宋_GB2312" w:hAnsi="宋体" w:eastAsia="仿宋_GB2312"/>
                <w:spacing w:val="-10"/>
                <w:sz w:val="18"/>
                <w:szCs w:val="18"/>
              </w:rPr>
            </w:pPr>
            <w:r>
              <w:rPr>
                <w:rFonts w:hint="eastAsia" w:ascii="仿宋_GB2312" w:hAnsi="宋体" w:eastAsia="仿宋_GB2312"/>
                <w:spacing w:val="-10"/>
                <w:sz w:val="15"/>
                <w:szCs w:val="15"/>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52</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中标人不按照与招标人订立的合同履行义务的其他行为的</w:t>
            </w:r>
            <w:r>
              <w:rPr>
                <w:rFonts w:hint="eastAsia" w:ascii="仿宋_GB2312" w:hAnsi="宋体" w:eastAsia="仿宋_GB2312"/>
                <w:spacing w:val="-4"/>
                <w:sz w:val="15"/>
                <w:szCs w:val="15"/>
              </w:rPr>
              <w:t>（含不参加或拖延参加水行政主管部门作出的参加抢险救灾工作的行为）</w:t>
            </w:r>
          </w:p>
        </w:tc>
        <w:tc>
          <w:tcPr>
            <w:tcW w:w="745" w:type="dxa"/>
            <w:shd w:val="clear" w:color="auto" w:fill="auto"/>
            <w:vAlign w:val="center"/>
          </w:tcPr>
          <w:p>
            <w:pPr>
              <w:spacing w:line="200" w:lineRule="exact"/>
              <w:jc w:val="center"/>
              <w:rPr>
                <w:rFonts w:ascii="仿宋_GB2312" w:hAnsi="宋体" w:eastAsia="仿宋_GB2312"/>
                <w:sz w:val="15"/>
                <w:szCs w:val="15"/>
              </w:rPr>
            </w:pPr>
            <w:r>
              <w:rPr>
                <w:rFonts w:hint="eastAsia" w:ascii="仿宋_GB2312" w:hAnsi="宋体" w:eastAsia="仿宋_GB2312"/>
                <w:sz w:val="15"/>
                <w:szCs w:val="15"/>
              </w:rPr>
              <w:t>每项次扣5分</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p>
            <w:pPr>
              <w:spacing w:line="240" w:lineRule="exact"/>
              <w:jc w:val="left"/>
              <w:rPr>
                <w:rFonts w:ascii="仿宋_GB2312" w:hAnsi="宋体" w:eastAsia="仿宋_GB2312"/>
                <w:sz w:val="15"/>
                <w:szCs w:val="15"/>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53</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未按相关规定做好设计文件档案管理，建立健全档案管理体系的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8"/>
                <w:szCs w:val="18"/>
              </w:rPr>
              <w:t>设计单位与建设单位签订的设计合同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54</w:t>
            </w:r>
          </w:p>
        </w:tc>
        <w:tc>
          <w:tcPr>
            <w:tcW w:w="4791" w:type="dxa"/>
            <w:vAlign w:val="center"/>
          </w:tcPr>
          <w:p>
            <w:pPr>
              <w:spacing w:line="240" w:lineRule="exact"/>
              <w:jc w:val="left"/>
              <w:rPr>
                <w:rFonts w:ascii="仿宋_GB2312" w:hAnsi="宋体" w:eastAsia="仿宋_GB2312"/>
                <w:sz w:val="15"/>
                <w:szCs w:val="15"/>
              </w:rPr>
            </w:pPr>
            <w:r>
              <w:rPr>
                <w:rFonts w:hint="eastAsia" w:ascii="仿宋_GB2312" w:eastAsia="仿宋_GB2312"/>
                <w:sz w:val="18"/>
                <w:szCs w:val="18"/>
              </w:rPr>
              <w:t>存在故意拖欠工资行为的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20</w:t>
            </w:r>
          </w:p>
        </w:tc>
        <w:tc>
          <w:tcPr>
            <w:tcW w:w="4742" w:type="dxa"/>
            <w:vMerge w:val="restart"/>
            <w:vAlign w:val="center"/>
          </w:tcPr>
          <w:p>
            <w:pPr>
              <w:spacing w:line="200" w:lineRule="exact"/>
              <w:rPr>
                <w:rFonts w:ascii="仿宋_GB2312" w:hAnsi="宋体" w:eastAsia="仿宋_GB2312"/>
                <w:sz w:val="15"/>
                <w:szCs w:val="15"/>
              </w:rPr>
            </w:pPr>
            <w:r>
              <w:rPr>
                <w:rFonts w:hint="eastAsia" w:ascii="仿宋_GB2312" w:eastAsia="仿宋_GB2312"/>
                <w:spacing w:val="-10"/>
                <w:sz w:val="15"/>
                <w:szCs w:val="15"/>
              </w:rPr>
              <w:t>《国务院办公厅关于促进建筑业持续健康发展的意见》（国办发</w:t>
            </w:r>
            <w:r>
              <w:rPr>
                <w:rFonts w:ascii="仿宋_GB2312" w:eastAsia="仿宋_GB2312"/>
                <w:spacing w:val="-10"/>
                <w:sz w:val="15"/>
                <w:szCs w:val="15"/>
              </w:rPr>
              <w:t>[2017]19号第（</w:t>
            </w:r>
            <w:r>
              <w:rPr>
                <w:rFonts w:hint="eastAsia" w:ascii="仿宋_GB2312" w:eastAsia="仿宋_GB2312"/>
                <w:spacing w:val="-10"/>
                <w:sz w:val="15"/>
                <w:szCs w:val="15"/>
              </w:rPr>
              <w:t>十三）款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55</w:t>
            </w:r>
          </w:p>
        </w:tc>
        <w:tc>
          <w:tcPr>
            <w:tcW w:w="4791" w:type="dxa"/>
            <w:vAlign w:val="center"/>
          </w:tcPr>
          <w:p>
            <w:pPr>
              <w:spacing w:line="240" w:lineRule="exact"/>
              <w:jc w:val="left"/>
              <w:rPr>
                <w:rFonts w:ascii="仿宋_GB2312" w:hAnsi="宋体" w:eastAsia="仿宋_GB2312"/>
                <w:sz w:val="18"/>
                <w:szCs w:val="18"/>
              </w:rPr>
            </w:pPr>
            <w:r>
              <w:rPr>
                <w:rFonts w:hint="eastAsia" w:ascii="仿宋_GB2312" w:eastAsia="仿宋_GB2312"/>
                <w:sz w:val="18"/>
                <w:szCs w:val="18"/>
              </w:rPr>
              <w:t>因故意拖欠工资导致工作人员上访影响社会稳定或人员死亡的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Merge w:val="continue"/>
            <w:vAlign w:val="center"/>
          </w:tcPr>
          <w:p>
            <w:pPr>
              <w:spacing w:line="200" w:lineRule="exact"/>
              <w:rPr>
                <w:rFonts w:ascii="仿宋_GB2312" w:hAnsi="宋体" w:eastAsia="仿宋_GB2312"/>
                <w:spacing w:val="-1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超越本单位资质等级承揽工程的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57</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未取得资质证书承揽工程的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以欺骗手段取得资质证书承揽工程的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59</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允许其他单位或者个人以本单位名义承揽工程的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60</w:t>
            </w:r>
          </w:p>
        </w:tc>
        <w:tc>
          <w:tcPr>
            <w:tcW w:w="4791" w:type="dxa"/>
            <w:vAlign w:val="center"/>
          </w:tcPr>
          <w:p>
            <w:pPr>
              <w:spacing w:line="200" w:lineRule="exact"/>
              <w:jc w:val="left"/>
              <w:rPr>
                <w:rFonts w:ascii="仿宋_GB2312" w:hAnsi="宋体" w:eastAsia="仿宋_GB2312"/>
                <w:sz w:val="18"/>
                <w:szCs w:val="18"/>
              </w:rPr>
            </w:pPr>
            <w:r>
              <w:rPr>
                <w:rFonts w:hint="eastAsia" w:ascii="仿宋_GB2312" w:hAnsi="宋体" w:eastAsia="仿宋_GB2312"/>
                <w:sz w:val="18"/>
                <w:szCs w:val="18"/>
              </w:rPr>
              <w:t>申请企业资质时，隐瞒有关真实情况或提交虚假材料的</w:t>
            </w:r>
          </w:p>
        </w:tc>
        <w:tc>
          <w:tcPr>
            <w:tcW w:w="745" w:type="dxa"/>
            <w:vAlign w:val="center"/>
          </w:tcPr>
          <w:p>
            <w:pPr>
              <w:spacing w:line="20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00" w:lineRule="exact"/>
              <w:jc w:val="left"/>
              <w:rPr>
                <w:rFonts w:ascii="仿宋_GB2312" w:hAnsi="宋体" w:eastAsia="仿宋_GB2312"/>
                <w:sz w:val="18"/>
                <w:szCs w:val="18"/>
              </w:rPr>
            </w:pPr>
            <w:r>
              <w:rPr>
                <w:rFonts w:hint="eastAsia" w:ascii="仿宋_GB2312" w:hAnsi="Arial" w:eastAsia="仿宋_GB2312" w:cs="Arial"/>
                <w:bCs/>
                <w:kern w:val="0"/>
                <w:sz w:val="18"/>
                <w:szCs w:val="18"/>
              </w:rPr>
              <w:t>《建筑业企业资质管理规定》第三十五条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62</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以他人名义投标或者以其他方式弄虚作假，骗取中标的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63</w:t>
            </w:r>
          </w:p>
        </w:tc>
        <w:tc>
          <w:tcPr>
            <w:tcW w:w="4791" w:type="dxa"/>
            <w:vMerge w:val="restart"/>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将中标项目转让给他人的，将中标项目肢解后分别转让给他人的，违反本法规定将中标项目的部分主体、关键性工作分包给他人的，或者分包人再次分包的</w:t>
            </w:r>
          </w:p>
        </w:tc>
        <w:tc>
          <w:tcPr>
            <w:tcW w:w="745"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continue"/>
            <w:shd w:val="clear" w:color="auto" w:fill="auto"/>
            <w:vAlign w:val="center"/>
          </w:tcPr>
          <w:p>
            <w:pPr>
              <w:jc w:val="center"/>
              <w:rPr>
                <w:rFonts w:ascii="仿宋_GB2312" w:hAnsi="宋体" w:eastAsia="仿宋_GB2312"/>
                <w:sz w:val="18"/>
                <w:szCs w:val="18"/>
              </w:rPr>
            </w:pPr>
          </w:p>
        </w:tc>
        <w:tc>
          <w:tcPr>
            <w:tcW w:w="4791" w:type="dxa"/>
            <w:vMerge w:val="continue"/>
            <w:vAlign w:val="center"/>
          </w:tcPr>
          <w:p>
            <w:pPr>
              <w:jc w:val="left"/>
              <w:rPr>
                <w:rFonts w:ascii="仿宋_GB2312" w:hAnsi="宋体" w:eastAsia="仿宋_GB2312"/>
                <w:sz w:val="18"/>
                <w:szCs w:val="18"/>
              </w:rPr>
            </w:pPr>
          </w:p>
        </w:tc>
        <w:tc>
          <w:tcPr>
            <w:tcW w:w="745" w:type="dxa"/>
            <w:vMerge w:val="continue"/>
            <w:vAlign w:val="center"/>
          </w:tcPr>
          <w:p>
            <w:pPr>
              <w:jc w:val="center"/>
              <w:rPr>
                <w:rFonts w:ascii="仿宋_GB2312" w:hAnsi="宋体" w:eastAsia="仿宋_GB2312"/>
                <w:sz w:val="18"/>
                <w:szCs w:val="18"/>
              </w:rPr>
            </w:pP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64</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非因不可抗力原因，中标人不按照与招标人订立的合同履行义务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65</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捏造或虚构事项投诉干扰招标工作正常进行的</w:t>
            </w:r>
          </w:p>
        </w:tc>
        <w:tc>
          <w:tcPr>
            <w:tcW w:w="745" w:type="dxa"/>
            <w:tcBorders>
              <w:bottom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bCs/>
                <w:sz w:val="18"/>
                <w:szCs w:val="18"/>
                <w:shd w:val="clear" w:color="auto" w:fill="FFFFFF"/>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66</w:t>
            </w:r>
          </w:p>
        </w:tc>
        <w:tc>
          <w:tcPr>
            <w:tcW w:w="4791" w:type="dxa"/>
            <w:tcBorders>
              <w:top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未按规定完善施工组织设计及有关施工技术方案、专项方案的编制并遵照执行的</w:t>
            </w:r>
          </w:p>
        </w:tc>
        <w:tc>
          <w:tcPr>
            <w:tcW w:w="745" w:type="dxa"/>
            <w:tcBorders>
              <w:top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pacing w:val="-10"/>
                <w:sz w:val="18"/>
                <w:szCs w:val="18"/>
              </w:rPr>
            </w:pPr>
            <w:r>
              <w:rPr>
                <w:rFonts w:hint="eastAsia" w:ascii="仿宋_GB2312" w:hAnsi="宋体" w:eastAsia="仿宋_GB2312"/>
                <w:spacing w:val="-10"/>
                <w:sz w:val="18"/>
                <w:szCs w:val="18"/>
              </w:rPr>
              <w:t>《建设工程安全生产管理条例》第二十六、六十五条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施工单位与建设单位签订的施工承建合同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67</w:t>
            </w:r>
          </w:p>
        </w:tc>
        <w:tc>
          <w:tcPr>
            <w:tcW w:w="4791" w:type="dxa"/>
            <w:tcBorders>
              <w:top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在施工中偷工减料的，使用不合格的建筑材料、建筑构配件和设备的（含监督抽检、飞行检测发现的不合格原材料、中间产品、构配件及设备），或者不按照工程设计图纸（包括擅自变更或设计变更手续未完善即擅自进行施工）、技术标准施工的其他行为</w:t>
            </w:r>
          </w:p>
        </w:tc>
        <w:tc>
          <w:tcPr>
            <w:tcW w:w="745" w:type="dxa"/>
            <w:tcBorders>
              <w:top w:val="single" w:color="auto" w:sz="4" w:space="0"/>
            </w:tcBorders>
            <w:vAlign w:val="center"/>
          </w:tcPr>
          <w:p>
            <w:pPr>
              <w:spacing w:line="240" w:lineRule="exact"/>
              <w:rPr>
                <w:rFonts w:ascii="仿宋_GB2312" w:hAnsi="宋体" w:eastAsia="仿宋_GB2312"/>
                <w:sz w:val="18"/>
                <w:szCs w:val="18"/>
              </w:rPr>
            </w:pPr>
            <w:r>
              <w:rPr>
                <w:rFonts w:hint="eastAsia" w:ascii="仿宋_GB2312" w:hAnsi="黑体" w:eastAsia="仿宋_GB2312"/>
                <w:sz w:val="15"/>
                <w:szCs w:val="15"/>
              </w:rPr>
              <w:t>每项扣20分</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未按规定对建筑材料、建筑构配件、设备和商品混凝土进行检验，或者未按规定对涉及结构安全的试块、试件以及有关材料取样检测的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69</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不履行保修义务或者拖延履行保修义务的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70</w:t>
            </w:r>
          </w:p>
        </w:tc>
        <w:tc>
          <w:tcPr>
            <w:tcW w:w="4791" w:type="dxa"/>
            <w:vAlign w:val="center"/>
          </w:tcPr>
          <w:p>
            <w:pPr>
              <w:spacing w:line="240" w:lineRule="exact"/>
              <w:jc w:val="left"/>
              <w:rPr>
                <w:rFonts w:ascii="仿宋_GB2312" w:hAnsi="宋体" w:eastAsia="仿宋_GB2312"/>
                <w:spacing w:val="-12"/>
                <w:sz w:val="18"/>
                <w:szCs w:val="18"/>
              </w:rPr>
            </w:pPr>
            <w:r>
              <w:rPr>
                <w:rFonts w:hint="eastAsia" w:ascii="仿宋_GB2312" w:hAnsi="宋体" w:eastAsia="仿宋_GB2312"/>
                <w:spacing w:val="-12"/>
                <w:sz w:val="18"/>
                <w:szCs w:val="18"/>
              </w:rPr>
              <w:t>由于施工单位责任造成质量事故的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《水利工程质量事故处理暂行规定》第三十四条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发生工程质量安全事故隐瞒不报、谎报或者拖延报告期限的</w:t>
            </w:r>
          </w:p>
        </w:tc>
        <w:tc>
          <w:tcPr>
            <w:tcW w:w="745" w:type="dxa"/>
            <w:vAlign w:val="center"/>
          </w:tcPr>
          <w:p>
            <w:pPr>
              <w:spacing w:line="240" w:lineRule="exact"/>
              <w:rPr>
                <w:rFonts w:ascii="仿宋_GB2312" w:hAnsi="宋体" w:eastAsia="仿宋_GB2312"/>
                <w:spacing w:val="-12"/>
                <w:sz w:val="15"/>
                <w:szCs w:val="15"/>
              </w:rPr>
            </w:pPr>
            <w:r>
              <w:rPr>
                <w:rFonts w:hint="eastAsia" w:ascii="仿宋_GB2312" w:hAnsi="宋体" w:eastAsia="仿宋_GB2312"/>
                <w:spacing w:val="-12"/>
                <w:sz w:val="15"/>
                <w:szCs w:val="15"/>
              </w:rPr>
              <w:t>一般及较大事故扣10分，重大事故扣20分，特大事故扣40分</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《建设工程质量管理条例》第七十条</w:t>
            </w:r>
          </w:p>
          <w:p>
            <w:pPr>
              <w:jc w:val="left"/>
              <w:rPr>
                <w:rFonts w:ascii="仿宋_GB2312" w:hAnsi="宋体" w:eastAsia="仿宋_GB2312"/>
                <w:sz w:val="18"/>
                <w:szCs w:val="18"/>
              </w:rPr>
            </w:pPr>
            <w:r>
              <w:rPr>
                <w:rFonts w:hint="eastAsia" w:ascii="仿宋_GB2312" w:hAnsi="宋体" w:eastAsia="仿宋_GB2312"/>
                <w:sz w:val="18"/>
                <w:szCs w:val="18"/>
              </w:rPr>
              <w:t>《生产安全事故报告和调查处理条例》第三十六条</w:t>
            </w:r>
          </w:p>
          <w:p>
            <w:pPr>
              <w:jc w:val="left"/>
              <w:rPr>
                <w:rFonts w:ascii="仿宋_GB2312" w:hAnsi="宋体" w:eastAsia="仿宋_GB2312"/>
                <w:sz w:val="18"/>
                <w:szCs w:val="18"/>
              </w:rPr>
            </w:pPr>
            <w:r>
              <w:rPr>
                <w:rFonts w:hint="eastAsia" w:ascii="仿宋_GB2312" w:hAnsi="宋体" w:eastAsia="仿宋_GB2312"/>
                <w:sz w:val="18"/>
                <w:szCs w:val="18"/>
              </w:rPr>
              <w:t>《水利工程质量事故处理暂行规定》第三十七条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72</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单元工程（检验批、工序）的质量未经监理机构复核合格并签字同意或复核不合格，即擅自进入下一单元工程（检验批、工序）施工的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《建设工程质量管理条例》第三十七条</w:t>
            </w:r>
          </w:p>
          <w:p>
            <w:pPr>
              <w:jc w:val="left"/>
              <w:rPr>
                <w:rFonts w:ascii="仿宋_GB2312" w:hAnsi="宋体" w:eastAsia="仿宋_GB2312"/>
                <w:sz w:val="18"/>
                <w:szCs w:val="18"/>
              </w:rPr>
            </w:pPr>
            <w:r>
              <w:rPr>
                <w:rFonts w:hint="eastAsia" w:ascii="仿宋_GB2312" w:hAnsi="宋体" w:eastAsia="仿宋_GB2312"/>
                <w:sz w:val="18"/>
                <w:szCs w:val="18"/>
              </w:rPr>
              <w:t>《水利工程施工监理规范》第6.2.10款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73</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未按照建设单位、监理单位、水行政主管部门或其委托的监督机构等有关单位的要求，对其施工存在的问题进行限期整改或整改后仍不合格的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《深圳市建筑市场严重违法行为特别处理规定》第五条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不接受工程监督机构监督的</w:t>
            </w:r>
          </w:p>
        </w:tc>
        <w:tc>
          <w:tcPr>
            <w:tcW w:w="745" w:type="dxa"/>
            <w:vAlign w:val="center"/>
          </w:tcPr>
          <w:p>
            <w:pPr>
              <w:jc w:val="center"/>
              <w:rPr>
                <w:rFonts w:ascii="仿宋_GB2312" w:hAnsi="宋体" w:eastAsia="仿宋_GB2312"/>
                <w:spacing w:val="-10"/>
                <w:sz w:val="18"/>
                <w:szCs w:val="18"/>
              </w:rPr>
            </w:pPr>
            <w:r>
              <w:rPr>
                <w:rFonts w:hint="eastAsia" w:ascii="仿宋_GB2312" w:hAnsi="宋体" w:eastAsia="仿宋_GB2312"/>
                <w:spacing w:val="-10"/>
                <w:sz w:val="15"/>
                <w:szCs w:val="15"/>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竣工工程质量不符合国家和水利行业现行的工程标准及设计文件要求的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未按规定向项目法人（建设单位）提交完整的技术档案、试验成果及有关资料的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工程档案资料（含竣工图、结算资料）填写不规范或弄虚作假、伪造记录，与实际不符的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3</w:t>
            </w:r>
          </w:p>
        </w:tc>
        <w:tc>
          <w:tcPr>
            <w:tcW w:w="4742"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《水利工程质量管理规定》第四十四条（六）款</w:t>
            </w:r>
          </w:p>
          <w:p>
            <w:pPr>
              <w:spacing w:line="240" w:lineRule="exact"/>
              <w:rPr>
                <w:rFonts w:ascii="仿宋_GB2312" w:eastAsia="仿宋_GB2312"/>
                <w:sz w:val="18"/>
                <w:szCs w:val="18"/>
              </w:rPr>
            </w:pPr>
            <w:r>
              <w:rPr>
                <w:rFonts w:hint="eastAsia" w:ascii="仿宋_GB2312" w:eastAsia="仿宋_GB2312"/>
                <w:sz w:val="18"/>
                <w:szCs w:val="18"/>
              </w:rPr>
              <w:t>《深圳市城市建设档案管理规定》第三十六条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78</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未按规定建立健全并严格实施下列安全生产制度的（包括但不限于）：</w:t>
            </w:r>
          </w:p>
          <w:p>
            <w:pPr>
              <w:spacing w:line="240" w:lineRule="exact"/>
              <w:jc w:val="left"/>
              <w:rPr>
                <w:rFonts w:ascii="仿宋_GB2312" w:eastAsia="仿宋_GB2312"/>
                <w:sz w:val="15"/>
                <w:szCs w:val="15"/>
                <w:shd w:val="clear" w:color="auto" w:fill="FFFFFF"/>
              </w:rPr>
            </w:pPr>
            <w:r>
              <w:rPr>
                <w:rFonts w:hint="eastAsia" w:ascii="仿宋_GB2312" w:eastAsia="仿宋_GB2312"/>
                <w:sz w:val="15"/>
                <w:szCs w:val="15"/>
                <w:shd w:val="clear" w:color="auto" w:fill="FFFFFF"/>
              </w:rPr>
              <w:t>1.安全生产责任制度和安全生产考核、奖惩制度;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2.安全生产岗位检查、日常安全检查和专业性安全检查制度；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3.重大危险源辨识、监控和隐患排查、登记、治理制度；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4.安全生产资金投入和设备、设施保障制度；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5.具有较大危险、危害因素的生产经营场所、设备和设施的安全管理制度以及危险作业管理制度；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6.安全生产教育、培训和持证上岗制度；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7.</w:t>
            </w:r>
            <w:r>
              <w:rPr>
                <w:rFonts w:hint="eastAsia" w:ascii="仿宋_GB2312" w:eastAsia="仿宋_GB2312"/>
                <w:spacing w:val="-6"/>
                <w:sz w:val="15"/>
                <w:szCs w:val="15"/>
                <w:shd w:val="clear" w:color="auto" w:fill="FFFFFF"/>
              </w:rPr>
              <w:t>劳动防护用品配备和使用管理制度以及职业健康措施保障制度;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8.事故报告应急救援和调查处理制度；</w:t>
            </w:r>
            <w:r>
              <w:rPr>
                <w:rFonts w:hint="eastAsia" w:ascii="仿宋_GB2312" w:eastAsia="仿宋_GB2312"/>
                <w:sz w:val="15"/>
                <w:szCs w:val="15"/>
              </w:rPr>
              <w:br w:type="textWrapping"/>
            </w:r>
            <w:r>
              <w:rPr>
                <w:rFonts w:hint="eastAsia" w:ascii="仿宋_GB2312" w:eastAsia="仿宋_GB2312"/>
                <w:sz w:val="15"/>
                <w:szCs w:val="15"/>
                <w:shd w:val="clear" w:color="auto" w:fill="FFFFFF"/>
              </w:rPr>
              <w:t>9.安全生产管理台账、档案制度；</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10.分包（供）方安全生产管理制度；</w:t>
            </w:r>
          </w:p>
          <w:p>
            <w:pPr>
              <w:spacing w:line="240" w:lineRule="exact"/>
              <w:jc w:val="left"/>
              <w:rPr>
                <w:rFonts w:ascii="仿宋_GB2312" w:hAnsi="宋体" w:eastAsia="仿宋_GB2312"/>
                <w:sz w:val="18"/>
                <w:szCs w:val="18"/>
              </w:rPr>
            </w:pPr>
            <w:r>
              <w:rPr>
                <w:rFonts w:hint="eastAsia" w:ascii="仿宋_GB2312" w:hAnsi="宋体" w:eastAsia="仿宋_GB2312"/>
                <w:sz w:val="15"/>
                <w:szCs w:val="15"/>
              </w:rPr>
              <w:t>11.施工现场安全管理制度。</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每项扣5分</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《广东省安全生产条例》第十条</w:t>
            </w:r>
          </w:p>
          <w:p>
            <w:pPr>
              <w:jc w:val="left"/>
              <w:rPr>
                <w:rFonts w:ascii="仿宋_GB2312" w:hAnsi="宋体" w:eastAsia="仿宋_GB2312"/>
                <w:sz w:val="18"/>
                <w:szCs w:val="18"/>
              </w:rPr>
            </w:pPr>
            <w:r>
              <w:rPr>
                <w:rFonts w:hint="eastAsia" w:ascii="仿宋_GB2312" w:hAnsi="宋体" w:eastAsia="仿宋_GB2312"/>
                <w:sz w:val="18"/>
                <w:szCs w:val="18"/>
              </w:rPr>
              <w:t>《施工企业安全生产管理规范》（GB 50656-2011）第6章</w:t>
            </w:r>
          </w:p>
          <w:p>
            <w:pPr>
              <w:spacing w:line="24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79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主要负责人在本单位发生重大生产安全事故时，不立即组织抢救或者在事故调查处理期间擅离之后或者逃匿的；主要负责人对生产安全事故隐瞒不报、谎报或者拖延不报的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《安全生产法》第一百零六条</w:t>
            </w:r>
          </w:p>
          <w:p>
            <w:pPr>
              <w:jc w:val="left"/>
              <w:rPr>
                <w:rFonts w:ascii="仿宋_GB2312" w:hAnsi="宋体" w:eastAsia="仿宋_GB2312"/>
                <w:sz w:val="18"/>
                <w:szCs w:val="18"/>
              </w:rPr>
            </w:pPr>
            <w:r>
              <w:rPr>
                <w:rFonts w:hint="eastAsia" w:ascii="仿宋_GB2312" w:hAnsi="宋体" w:eastAsia="仿宋_GB2312"/>
                <w:sz w:val="18"/>
                <w:szCs w:val="18"/>
              </w:rPr>
              <w:t>《生产安全事故报告和调查处理条例》第三十六条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未按规定设立安全生产管理机构或配备专职安全生产管理人员</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《安全生产法》第九十四条</w:t>
            </w:r>
          </w:p>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81</w:t>
            </w:r>
          </w:p>
        </w:tc>
        <w:tc>
          <w:tcPr>
            <w:tcW w:w="4791" w:type="dxa"/>
            <w:vAlign w:val="center"/>
          </w:tcPr>
          <w:p>
            <w:pPr>
              <w:jc w:val="left"/>
              <w:rPr>
                <w:rFonts w:ascii="仿宋_GB2312" w:hAnsi="宋体" w:eastAsia="仿宋_GB2312"/>
                <w:spacing w:val="-10"/>
                <w:sz w:val="18"/>
                <w:szCs w:val="18"/>
              </w:rPr>
            </w:pPr>
            <w:r>
              <w:rPr>
                <w:rFonts w:hint="eastAsia" w:ascii="仿宋_GB2312" w:hAnsi="宋体" w:eastAsia="仿宋_GB2312"/>
                <w:spacing w:val="-10"/>
                <w:sz w:val="18"/>
                <w:szCs w:val="18"/>
              </w:rPr>
              <w:t>危险性较大分部分项工程施工时无专职安全生产管理人员现场监督并形成书面记录的</w:t>
            </w:r>
          </w:p>
        </w:tc>
        <w:tc>
          <w:tcPr>
            <w:tcW w:w="745" w:type="dxa"/>
            <w:vAlign w:val="center"/>
          </w:tcPr>
          <w:p>
            <w:pPr>
              <w:spacing w:line="240" w:lineRule="exact"/>
              <w:ind w:firstLine="300" w:firstLineChars="200"/>
              <w:rPr>
                <w:rFonts w:ascii="仿宋_GB2312" w:hAnsi="宋体" w:eastAsia="仿宋_GB2312"/>
                <w:sz w:val="15"/>
                <w:szCs w:val="15"/>
              </w:rPr>
            </w:pPr>
            <w:r>
              <w:rPr>
                <w:rFonts w:hint="eastAsia" w:ascii="仿宋_GB2312" w:hAnsi="黑体" w:eastAsia="仿宋_GB2312"/>
                <w:sz w:val="15"/>
                <w:szCs w:val="15"/>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主要负责人、项目负责人、专职安全生产管理人员未按照规定考核合格的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特种作业人员未按照规定经专门的安全作业培训并取得特种作业操作资格证书，上岗作业的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规定对从业人员进行安全生产教育和培训，或者未按照规定如实告知从业人员有关的安全生产事项并如实进行记录（即未按规定对从业人员落实安全生产三级教育和培训、安全技术交底工作并如实进行记录）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《安全生产法》第九十四条</w:t>
            </w:r>
          </w:p>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不依照本法规定保证安全生产所必需的资金投入，致使生产经营单位不具备安全生产条件的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《安全生产法》第九十条</w:t>
            </w:r>
          </w:p>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施工企业未按规定对工程项目施工现场安全生产情况每月至少进行一次检查、工程项目部每周至少进行一次检查，对检查发现的安全隐患进行跟踪整改合格，并形成书面记录的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《广东省安全生产条例》第十四、十五条</w:t>
            </w:r>
          </w:p>
          <w:p>
            <w:pPr>
              <w:jc w:val="left"/>
              <w:rPr>
                <w:rFonts w:ascii="仿宋_GB2312" w:hAnsi="宋体" w:eastAsia="仿宋_GB2312"/>
                <w:sz w:val="18"/>
                <w:szCs w:val="18"/>
              </w:rPr>
            </w:pPr>
            <w:r>
              <w:rPr>
                <w:rFonts w:hint="eastAsia" w:ascii="仿宋_GB2312" w:hAnsi="宋体" w:eastAsia="仿宋_GB2312"/>
                <w:sz w:val="18"/>
                <w:szCs w:val="18"/>
              </w:rPr>
              <w:t>《施工企业安全生产管理规范》（GB 50656-2011）第15.0.3款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未按规定开展企业安全生产标准化建设的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国务院安全生产委员会关于加强企业安全生产诚信体系建设的指导意见（安委[2014]8号）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规定在施工现场的以下危险部位（包括但不限于）设置明显的安全警示标志或设置的安全警示标志不符合要求的：施工现场入口处、施工起重机械、临时用电设施、脚手架、出入通道口、楼梯口、电梯井口、孔洞口、桥梁口、隧道口、基坑边沿、爆破物及有害危险气体和液体存放处等危险部位。</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每处扣3分</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89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安全设备（包括但不限于：施工起重机械、临时用电设施、脚手架、安全通道、安全护栏、防坠落设施、吊篮、施工机具等）的安装、使用、检测、改造和报废不符合国家标准或者行业标准的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未对安全设备进行经常性维护、保养和定期检测的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未为从业人员提供符合国家标准或者行业标准的劳动防护用品的</w:t>
            </w:r>
          </w:p>
        </w:tc>
        <w:tc>
          <w:tcPr>
            <w:tcW w:w="745" w:type="dxa"/>
            <w:shd w:val="clear" w:color="auto" w:fill="auto"/>
            <w:vAlign w:val="center"/>
          </w:tcPr>
          <w:p>
            <w:pPr>
              <w:spacing w:line="240" w:lineRule="exact"/>
              <w:jc w:val="center"/>
              <w:rPr>
                <w:rFonts w:ascii="仿宋_GB2312" w:hAnsi="宋体" w:eastAsia="仿宋_GB2312"/>
                <w:spacing w:val="-10"/>
                <w:sz w:val="18"/>
                <w:szCs w:val="18"/>
              </w:rPr>
            </w:pPr>
            <w:r>
              <w:rPr>
                <w:rFonts w:hint="eastAsia" w:ascii="仿宋_GB2312" w:hAnsi="宋体" w:eastAsia="仿宋_GB2312"/>
                <w:spacing w:val="-10"/>
                <w:sz w:val="18"/>
                <w:szCs w:val="18"/>
              </w:rPr>
              <w:t>3</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《安全生产法》第九十六条</w:t>
            </w:r>
          </w:p>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特种设备以及危险物品的容器、运输工具未经取得专业资质的机构检测、检验合格，取得安全使用证或者安全标志，投入使用的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使用国家明令淘汰、禁止使用的危及生产安全的工艺、设备的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《安全生产法》第九十六条</w:t>
            </w:r>
          </w:p>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生产、经营、储存、使用危险物品，未建立专门安全管理制度、未采取可靠的安全措施或者不接受有关主管部门依法实施的监督管理的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对重大危险源未登记建档，或者未进行评估、监控，或者未制定应急预案的</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进行爆破、吊装等危险作业，未安排专门管理人员进行现场安全管理的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97</w:t>
            </w:r>
          </w:p>
        </w:tc>
        <w:tc>
          <w:tcPr>
            <w:tcW w:w="4791" w:type="dxa"/>
            <w:vAlign w:val="center"/>
          </w:tcPr>
          <w:p>
            <w:pPr>
              <w:jc w:val="left"/>
              <w:rPr>
                <w:rFonts w:ascii="仿宋_GB2312" w:hAnsi="宋体" w:eastAsia="仿宋_GB2312"/>
                <w:spacing w:val="-6"/>
                <w:sz w:val="18"/>
                <w:szCs w:val="18"/>
              </w:rPr>
            </w:pPr>
            <w:r>
              <w:rPr>
                <w:rFonts w:hint="eastAsia" w:ascii="仿宋_GB2312" w:hAnsi="宋体" w:eastAsia="仿宋_GB2312"/>
                <w:spacing w:val="-6"/>
                <w:sz w:val="18"/>
                <w:szCs w:val="18"/>
              </w:rPr>
              <w:t>未按规定建立事故隐患排查治理制度的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施工场所和员工宿舍未设有符合紧急疏散需要、标志明显、保持畅通的出口，或者封闭、堵塞施工场所或者员工宿舍出口的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99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与从业人员订立协议，免除或者减轻其对从业人员因生产安全事故伤亡依法应承担的责任的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未按照国家有关规定在施工现场设置消防通道、消防水源、配备消防设施和灭火器材的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未按照规定对施工起重机械、整体提升脚手架、模板等自升式架设设施进行合格验收并登记即投入使用；</w:t>
            </w:r>
          </w:p>
          <w:p>
            <w:pPr>
              <w:jc w:val="left"/>
              <w:rPr>
                <w:rFonts w:ascii="仿宋_GB2312" w:hAnsi="宋体" w:eastAsia="仿宋_GB2312"/>
                <w:sz w:val="18"/>
                <w:szCs w:val="18"/>
              </w:rPr>
            </w:pPr>
            <w:r>
              <w:rPr>
                <w:rFonts w:hint="eastAsia" w:ascii="仿宋_GB2312" w:hAnsi="宋体" w:eastAsia="仿宋_GB2312"/>
                <w:sz w:val="18"/>
                <w:szCs w:val="18"/>
              </w:rPr>
              <w:t>安全防护用具、机械设备、施工机具及配件在进入施工现场前未经查验或者查验不合格即投入使用的</w:t>
            </w:r>
          </w:p>
        </w:tc>
        <w:tc>
          <w:tcPr>
            <w:tcW w:w="74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《建设工程安全生产管理条例》第六十二、六十五条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施工单位挪用安全生产作业环境及安全施工措施费</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施工前，未按规定对有关安全施工的技术要求进行交底说明并形成记录的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未根据不同施工阶段和周围环境及季节、气候的变化，在施工现场采取相应的安全施工措施，或者未按规定在施工现场实行“五牌一图”、封闭围挡、落实扬尘防治等文明施工措施的</w:t>
            </w:r>
          </w:p>
        </w:tc>
        <w:tc>
          <w:tcPr>
            <w:tcW w:w="74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每处扣3分</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《建设工程安全生产管理条例》第六十四条</w:t>
            </w:r>
          </w:p>
          <w:p>
            <w:pPr>
              <w:jc w:val="left"/>
              <w:rPr>
                <w:rFonts w:ascii="仿宋_GB2312" w:hAnsi="宋体" w:eastAsia="仿宋_GB2312"/>
                <w:sz w:val="18"/>
                <w:szCs w:val="18"/>
              </w:rPr>
            </w:pPr>
            <w:r>
              <w:rPr>
                <w:rFonts w:hint="eastAsia" w:ascii="仿宋_GB2312" w:hAnsi="宋体" w:eastAsia="仿宋_GB2312"/>
                <w:sz w:val="18"/>
                <w:szCs w:val="18"/>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在尚未竣工的建筑物内设置员工集体宿舍的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《建设工程安全生产管理条例》第六十四条</w:t>
            </w:r>
          </w:p>
        </w:tc>
      </w:tr>
      <w:tr>
        <w:tblPrEx>
          <w:tblCellMar>
            <w:top w:w="0" w:type="dxa"/>
            <w:left w:w="108" w:type="dxa"/>
            <w:bottom w:w="0" w:type="dxa"/>
            <w:right w:w="108" w:type="dxa"/>
          </w:tblCellMar>
        </w:tblPrEx>
        <w:trPr>
          <w:trHeight w:val="572"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施工现场临时搭建的建筑物不符合安全使用要求的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未对因建设工程施工可能造成损害的毗邻建筑物、构筑物和地下管线等采取专项防护措施的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未按规定对分包单位进行安全生产管理的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委托不具有相应资质的单位承担施工现场安装、拆卸施工起重机械和整体提升脚手架、模板等自升式架设设施的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未编制或落实安全技术措施、施工现场临时用电方案及其他相关专项施工方案的</w:t>
            </w:r>
          </w:p>
        </w:tc>
        <w:tc>
          <w:tcPr>
            <w:tcW w:w="745" w:type="dxa"/>
            <w:vAlign w:val="center"/>
          </w:tcPr>
          <w:p>
            <w:pPr>
              <w:ind w:firstLine="270" w:firstLineChars="150"/>
              <w:rPr>
                <w:rFonts w:ascii="仿宋_GB2312" w:hAnsi="宋体" w:eastAsia="仿宋_GB2312"/>
                <w:sz w:val="18"/>
                <w:szCs w:val="18"/>
              </w:rPr>
            </w:pPr>
            <w:r>
              <w:rPr>
                <w:rFonts w:hint="eastAsia" w:ascii="仿宋_GB2312" w:hAnsi="宋体" w:eastAsia="仿宋_GB2312"/>
                <w:sz w:val="18"/>
                <w:szCs w:val="18"/>
              </w:rPr>
              <w:t>3</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111</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未取得安全生产许可证擅自进行生产的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《安全生产许可证条例》第十九条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112</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安全生产许可证有效期满未办理延期手续，继续进行生产的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《安全生产许可证条例》第二十条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restart"/>
            <w:vAlign w:val="center"/>
          </w:tcPr>
          <w:p>
            <w:pPr>
              <w:spacing w:line="240" w:lineRule="exact"/>
              <w:jc w:val="center"/>
              <w:rPr>
                <w:rFonts w:ascii="仿宋_GB2312" w:hAnsi="宋体" w:eastAsia="仿宋_GB2312"/>
                <w:b/>
                <w:sz w:val="18"/>
                <w:szCs w:val="18"/>
              </w:rPr>
            </w:pPr>
            <w:r>
              <w:rPr>
                <w:rFonts w:hint="eastAsia" w:ascii="仿宋_GB2312" w:hAnsi="宋体" w:eastAsia="仿宋_GB2312"/>
                <w:sz w:val="18"/>
                <w:szCs w:val="18"/>
              </w:rPr>
              <w:t>3、施工单位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113</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转让安全生产许可证的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《安全生产许可证条例》第二十一条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801" w:type="dxa"/>
            <w:vMerge w:val="continue"/>
            <w:vAlign w:val="center"/>
          </w:tcPr>
          <w:p>
            <w:pPr>
              <w:spacing w:line="240" w:lineRule="exact"/>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114</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冒用安全生产许可证或者使用伪造的安全生产许可证的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《安全生产许可证条例》第二十一条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801" w:type="dxa"/>
            <w:vMerge w:val="continue"/>
            <w:vAlign w:val="center"/>
          </w:tcPr>
          <w:p>
            <w:pPr>
              <w:spacing w:line="240" w:lineRule="exact"/>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115</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在生产过程中造成水土流失不进行治理的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《水土保持法》第三十六条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116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项目经理的任命（含变更）不符合相关规定，或项目经理未按规定到岗履职（含参加工程验收），或安排任职项目数量已达到规定限额的项目经理在其他项目任职的</w:t>
            </w:r>
            <w:bookmarkStart w:id="1" w:name="_GoBack"/>
            <w:bookmarkEnd w:id="1"/>
          </w:p>
        </w:tc>
        <w:tc>
          <w:tcPr>
            <w:tcW w:w="74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每次扣10分</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《注册建造师管理规定》（建设部令第153号）</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承包人与建设单位签订的施工承包合同</w:t>
            </w:r>
          </w:p>
          <w:p>
            <w:pPr>
              <w:spacing w:line="240" w:lineRule="exact"/>
              <w:jc w:val="left"/>
              <w:rPr>
                <w:rFonts w:ascii="仿宋_GB2312" w:hAnsi="微软雅黑" w:eastAsia="仿宋_GB2312"/>
                <w:sz w:val="15"/>
                <w:szCs w:val="15"/>
              </w:rPr>
            </w:pPr>
            <w:r>
              <w:rPr>
                <w:rFonts w:hint="eastAsia" w:ascii="仿宋_GB2312" w:hAnsi="宋体" w:eastAsia="仿宋_GB2312"/>
                <w:sz w:val="15"/>
                <w:szCs w:val="15"/>
              </w:rPr>
              <w:t>《</w:t>
            </w:r>
            <w:r>
              <w:rPr>
                <w:rFonts w:hint="eastAsia" w:ascii="仿宋_GB2312" w:hAnsi="微软雅黑" w:eastAsia="仿宋_GB2312"/>
                <w:bCs/>
                <w:sz w:val="15"/>
                <w:szCs w:val="15"/>
              </w:rPr>
              <w:t>关于建设工程招标投标改革的若干规定</w:t>
            </w:r>
            <w:r>
              <w:rPr>
                <w:rFonts w:hint="eastAsia" w:ascii="仿宋_GB2312" w:hAnsi="宋体" w:eastAsia="仿宋_GB2312"/>
                <w:sz w:val="15"/>
                <w:szCs w:val="15"/>
              </w:rPr>
              <w:t>》（深府[2015]73号]）第二十八、五十四条</w:t>
            </w:r>
          </w:p>
          <w:p>
            <w:pPr>
              <w:spacing w:line="240" w:lineRule="exact"/>
              <w:jc w:val="lef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117</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项目组织机构中的其他成员（包括安全员等）未按规定到岗履职的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118</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施工单位人、财、物投入不满足施工需要且拒不整改或整改不到位的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119</w:t>
            </w:r>
          </w:p>
        </w:tc>
        <w:tc>
          <w:tcPr>
            <w:tcW w:w="4791" w:type="dxa"/>
            <w:tcBorders>
              <w:bottom w:val="single" w:color="auto" w:sz="4" w:space="0"/>
            </w:tcBorders>
            <w:vAlign w:val="center"/>
          </w:tcPr>
          <w:p>
            <w:pPr>
              <w:spacing w:line="240" w:lineRule="exact"/>
              <w:jc w:val="left"/>
              <w:rPr>
                <w:rFonts w:ascii="仿宋_GB2312" w:hAnsi="宋体" w:eastAsia="仿宋_GB2312"/>
                <w:sz w:val="15"/>
                <w:szCs w:val="15"/>
              </w:rPr>
            </w:pPr>
            <w:r>
              <w:rPr>
                <w:rFonts w:hint="eastAsia" w:ascii="仿宋_GB2312" w:eastAsia="仿宋_GB2312"/>
                <w:sz w:val="15"/>
                <w:szCs w:val="15"/>
              </w:rPr>
              <w:t>存在故意拖欠工资行为的，或未严格落实</w:t>
            </w:r>
            <w:r>
              <w:rPr>
                <w:rFonts w:hint="eastAsia" w:ascii="仿宋_GB2312" w:hAnsi="仿宋" w:eastAsia="仿宋_GB2312" w:cs="宋体"/>
                <w:kern w:val="0"/>
                <w:sz w:val="15"/>
                <w:szCs w:val="15"/>
              </w:rPr>
              <w:t>劳务用工实名制、工资支付分帐管理等制度规定的</w:t>
            </w:r>
          </w:p>
        </w:tc>
        <w:tc>
          <w:tcPr>
            <w:tcW w:w="745" w:type="dxa"/>
            <w:vAlign w:val="center"/>
          </w:tcPr>
          <w:p>
            <w:pPr>
              <w:jc w:val="center"/>
              <w:rPr>
                <w:rFonts w:ascii="仿宋_GB2312" w:hAnsi="宋体" w:eastAsia="仿宋_GB2312"/>
                <w:sz w:val="15"/>
                <w:szCs w:val="15"/>
              </w:rPr>
            </w:pPr>
            <w:r>
              <w:rPr>
                <w:rFonts w:hint="eastAsia" w:ascii="仿宋_GB2312" w:hAnsi="宋体" w:eastAsia="仿宋_GB2312"/>
                <w:sz w:val="15"/>
                <w:szCs w:val="15"/>
              </w:rPr>
              <w:t>20</w:t>
            </w:r>
          </w:p>
        </w:tc>
        <w:tc>
          <w:tcPr>
            <w:tcW w:w="4742" w:type="dxa"/>
            <w:vMerge w:val="restart"/>
            <w:vAlign w:val="center"/>
          </w:tcPr>
          <w:p>
            <w:pPr>
              <w:spacing w:line="200" w:lineRule="exact"/>
              <w:rPr>
                <w:rFonts w:ascii="仿宋_GB2312" w:eastAsia="仿宋_GB2312"/>
                <w:spacing w:val="-10"/>
                <w:sz w:val="15"/>
                <w:szCs w:val="15"/>
              </w:rPr>
            </w:pPr>
            <w:r>
              <w:rPr>
                <w:rFonts w:hint="eastAsia" w:ascii="仿宋_GB2312" w:eastAsia="仿宋_GB2312"/>
                <w:spacing w:val="-10"/>
                <w:sz w:val="15"/>
                <w:szCs w:val="15"/>
              </w:rPr>
              <w:t>《国务院办公厅关于促进建筑业持续健康发展的意见》（国办发</w:t>
            </w:r>
            <w:r>
              <w:rPr>
                <w:rFonts w:ascii="仿宋_GB2312" w:eastAsia="仿宋_GB2312"/>
                <w:spacing w:val="-10"/>
                <w:sz w:val="15"/>
                <w:szCs w:val="15"/>
              </w:rPr>
              <w:t>[2017]19号第（</w:t>
            </w:r>
            <w:r>
              <w:rPr>
                <w:rFonts w:hint="eastAsia" w:ascii="仿宋_GB2312" w:eastAsia="仿宋_GB2312"/>
                <w:spacing w:val="-10"/>
                <w:sz w:val="15"/>
                <w:szCs w:val="15"/>
              </w:rPr>
              <w:t>十三）款</w:t>
            </w:r>
          </w:p>
          <w:p>
            <w:pPr>
              <w:spacing w:line="200" w:lineRule="exact"/>
              <w:rPr>
                <w:rFonts w:ascii="仿宋_GB2312" w:hAnsi="仿宋" w:eastAsia="仿宋_GB2312"/>
                <w:sz w:val="15"/>
                <w:szCs w:val="15"/>
              </w:rPr>
            </w:pPr>
            <w:r>
              <w:rPr>
                <w:rFonts w:hint="eastAsia" w:ascii="仿宋_GB2312" w:hAnsi="仿宋" w:eastAsia="仿宋_GB2312"/>
                <w:sz w:val="15"/>
                <w:szCs w:val="15"/>
              </w:rPr>
              <w:t>《国务院办公厅关于全面治理拖欠农民工工资问题的意见》（国办发〔2016〕1号）</w:t>
            </w:r>
          </w:p>
          <w:p>
            <w:pPr>
              <w:spacing w:line="200" w:lineRule="exact"/>
              <w:rPr>
                <w:rFonts w:ascii="仿宋_GB2312" w:hAnsi="宋体" w:eastAsia="仿宋_GB2312"/>
                <w:spacing w:val="-10"/>
                <w:sz w:val="15"/>
                <w:szCs w:val="15"/>
              </w:rPr>
            </w:pPr>
            <w:r>
              <w:rPr>
                <w:rFonts w:hint="eastAsia" w:ascii="仿宋_GB2312" w:hAnsi="仿宋" w:eastAsia="仿宋_GB2312"/>
                <w:sz w:val="15"/>
                <w:szCs w:val="15"/>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120</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eastAsia="仿宋_GB2312"/>
                <w:sz w:val="15"/>
                <w:szCs w:val="15"/>
              </w:rPr>
              <w:t>因故意拖欠工资导致工作人员上访影响社会稳定或人员死亡的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5"/>
                <w:szCs w:val="15"/>
              </w:rPr>
              <w:t>40</w:t>
            </w:r>
          </w:p>
        </w:tc>
        <w:tc>
          <w:tcPr>
            <w:tcW w:w="4742" w:type="dxa"/>
            <w:vMerge w:val="continue"/>
            <w:vAlign w:val="center"/>
          </w:tcPr>
          <w:p>
            <w:pPr>
              <w:spacing w:line="240" w:lineRule="exact"/>
              <w:jc w:val="lef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122</w:t>
            </w:r>
          </w:p>
        </w:tc>
        <w:tc>
          <w:tcPr>
            <w:tcW w:w="4791" w:type="dxa"/>
            <w:tcBorders>
              <w:bottom w:val="single" w:color="auto" w:sz="4" w:space="0"/>
            </w:tcBorders>
            <w:vAlign w:val="center"/>
          </w:tcPr>
          <w:p>
            <w:pPr>
              <w:spacing w:line="240" w:lineRule="exact"/>
              <w:jc w:val="left"/>
              <w:rPr>
                <w:rFonts w:ascii="仿宋_GB2312" w:hAnsi="宋体" w:eastAsia="仿宋_GB2312"/>
                <w:spacing w:val="-4"/>
                <w:sz w:val="18"/>
                <w:szCs w:val="18"/>
              </w:rPr>
            </w:pPr>
            <w:r>
              <w:rPr>
                <w:rFonts w:hint="eastAsia" w:ascii="仿宋_GB2312" w:hAnsi="宋体" w:eastAsia="仿宋_GB2312"/>
                <w:spacing w:val="-4"/>
                <w:sz w:val="18"/>
                <w:szCs w:val="18"/>
              </w:rPr>
              <w:t>中标人不按照与招标人订立的合同履行义务（含不参加或拖延参加水行政主管部门作出的参加抢险救灾工作的行为）或有违反《施工企业安全生产管理规范》（GB 50656）相关规定的其他行为的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承包人与建设单位签订的施工承包合同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restart"/>
            <w:vAlign w:val="center"/>
          </w:tcPr>
          <w:p>
            <w:pPr>
              <w:jc w:val="center"/>
              <w:rPr>
                <w:rFonts w:ascii="仿宋_GB2312" w:hAnsi="宋体" w:eastAsia="仿宋_GB2312"/>
                <w:b/>
                <w:sz w:val="18"/>
                <w:szCs w:val="18"/>
              </w:rPr>
            </w:pPr>
            <w:r>
              <w:rPr>
                <w:rFonts w:hint="eastAsia" w:ascii="仿宋_GB2312" w:hAnsi="宋体" w:eastAsia="仿宋_GB2312"/>
                <w:sz w:val="18"/>
                <w:szCs w:val="18"/>
              </w:rPr>
              <w:t>4、监理单位</w:t>
            </w:r>
          </w:p>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b/>
                <w:sz w:val="18"/>
                <w:szCs w:val="18"/>
              </w:rPr>
            </w:pPr>
            <w:r>
              <w:rPr>
                <w:rFonts w:hint="eastAsia" w:ascii="仿宋_GB2312" w:hAnsi="宋体" w:eastAsia="仿宋_GB2312"/>
                <w:sz w:val="18"/>
                <w:szCs w:val="18"/>
              </w:rPr>
              <w:t>管理</w:t>
            </w:r>
          </w:p>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123</w:t>
            </w:r>
          </w:p>
        </w:tc>
        <w:tc>
          <w:tcPr>
            <w:tcW w:w="4791" w:type="dxa"/>
            <w:tcBorders>
              <w:top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超越本单位资质等级承揽工程的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5"/>
                <w:szCs w:val="15"/>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以欺骗手段取得资质证书承揽工程的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允许其他单位或者个人以本单位名义承揽工程的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以串通、欺诈、胁迫、贿赂等不正当竞争手段承揽监理业务的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《水利工程建设监理规定》第二十八条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聘用无相应监理人员资格的人员从事监理业务的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《水利工程建设监理规定》第三十条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隐瞒有关情况、拒绝提供材料或者提供虚假材料的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《水利工程建设监理规定》第三十条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投标人以他人名义投标或者以其他方式弄虚作假，骗取中标的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非因不可抗力原因，中标人不按照与招标人订立的合同履行义务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转让工程监理业务的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4、监理单位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投标</w:t>
            </w:r>
          </w:p>
        </w:tc>
        <w:tc>
          <w:tcPr>
            <w:tcW w:w="709"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134</w:t>
            </w:r>
          </w:p>
        </w:tc>
        <w:tc>
          <w:tcPr>
            <w:tcW w:w="4791" w:type="dxa"/>
            <w:vMerge w:val="restart"/>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中标人将中标项目转让给他人的，将中标项目肢解后分别转让给他人的，违反本法规定将中标项目的部分主体、关键性工作分包给他人的，或者分包人再次分包的</w:t>
            </w:r>
          </w:p>
        </w:tc>
        <w:tc>
          <w:tcPr>
            <w:tcW w:w="745"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Merge w:val="continue"/>
            <w:shd w:val="clear" w:color="auto" w:fill="auto"/>
            <w:vAlign w:val="center"/>
          </w:tcPr>
          <w:p>
            <w:pPr>
              <w:jc w:val="center"/>
              <w:rPr>
                <w:rFonts w:ascii="仿宋_GB2312" w:hAnsi="宋体" w:eastAsia="仿宋_GB2312"/>
                <w:sz w:val="18"/>
                <w:szCs w:val="18"/>
              </w:rPr>
            </w:pPr>
          </w:p>
        </w:tc>
        <w:tc>
          <w:tcPr>
            <w:tcW w:w="4791" w:type="dxa"/>
            <w:vMerge w:val="continue"/>
            <w:vAlign w:val="center"/>
          </w:tcPr>
          <w:p>
            <w:pPr>
              <w:spacing w:line="240" w:lineRule="exact"/>
              <w:jc w:val="left"/>
              <w:rPr>
                <w:rFonts w:ascii="仿宋_GB2312" w:hAnsi="宋体" w:eastAsia="仿宋_GB2312"/>
                <w:sz w:val="18"/>
                <w:szCs w:val="18"/>
              </w:rPr>
            </w:pPr>
          </w:p>
        </w:tc>
        <w:tc>
          <w:tcPr>
            <w:tcW w:w="745" w:type="dxa"/>
            <w:vMerge w:val="continue"/>
            <w:vAlign w:val="center"/>
          </w:tcPr>
          <w:p>
            <w:pPr>
              <w:spacing w:line="240" w:lineRule="exact"/>
              <w:jc w:val="center"/>
              <w:rPr>
                <w:rFonts w:ascii="仿宋_GB2312" w:hAnsi="宋体" w:eastAsia="仿宋_GB2312"/>
                <w:sz w:val="18"/>
                <w:szCs w:val="18"/>
              </w:rPr>
            </w:pP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《建设工程质量管理条例》第六十二条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与建设单位或者施工单位串通，弄虚作假、降低工程质量的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将不合格的建设工程、建筑材料、建筑构配件和设备按照合格签字的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137</w:t>
            </w:r>
          </w:p>
        </w:tc>
        <w:tc>
          <w:tcPr>
            <w:tcW w:w="4791" w:type="dxa"/>
            <w:vAlign w:val="center"/>
          </w:tcPr>
          <w:p>
            <w:pPr>
              <w:jc w:val="left"/>
              <w:rPr>
                <w:rFonts w:ascii="仿宋_GB2312" w:hAnsi="宋体" w:eastAsia="仿宋_GB2312"/>
                <w:spacing w:val="-4"/>
                <w:sz w:val="18"/>
                <w:szCs w:val="18"/>
              </w:rPr>
            </w:pPr>
            <w:r>
              <w:rPr>
                <w:rFonts w:hint="eastAsia" w:ascii="仿宋_GB2312" w:hAnsi="宋体" w:eastAsia="仿宋_GB2312"/>
                <w:spacing w:val="-4"/>
                <w:sz w:val="18"/>
                <w:szCs w:val="18"/>
              </w:rPr>
              <w:t>在填写不规范或弄虚作假、与实际不符的工程档案资料（含竣工图、结算资料）上签名，确认其符合规范或设计要求的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rPr>
                <w:rFonts w:ascii="仿宋_GB2312" w:eastAsia="仿宋_GB2312"/>
                <w:sz w:val="18"/>
                <w:szCs w:val="18"/>
              </w:rPr>
            </w:pPr>
            <w:r>
              <w:rPr>
                <w:rFonts w:hint="eastAsia" w:ascii="仿宋_GB2312" w:eastAsia="仿宋_GB2312"/>
                <w:sz w:val="18"/>
                <w:szCs w:val="18"/>
              </w:rPr>
              <w:t>《深圳市城市建设档案管理规定》第三十六条</w:t>
            </w:r>
          </w:p>
          <w:p>
            <w:pPr>
              <w:spacing w:line="240" w:lineRule="exact"/>
              <w:rPr>
                <w:rFonts w:ascii="仿宋_GB2312" w:eastAsia="仿宋_GB2312"/>
                <w:sz w:val="18"/>
                <w:szCs w:val="18"/>
              </w:rPr>
            </w:pPr>
            <w:r>
              <w:rPr>
                <w:rFonts w:hint="eastAsia" w:ascii="仿宋_GB2312" w:hAnsi="宋体" w:eastAsia="仿宋_GB2312"/>
                <w:spacing w:val="-8"/>
                <w:sz w:val="18"/>
                <w:szCs w:val="18"/>
              </w:rPr>
              <w:t>《水利工程施工监理规范》（SL 288-2014）</w:t>
            </w:r>
            <w:r>
              <w:rPr>
                <w:rFonts w:hint="eastAsia" w:ascii="仿宋_GB2312" w:eastAsia="仿宋_GB2312"/>
                <w:sz w:val="18"/>
                <w:szCs w:val="18"/>
              </w:rPr>
              <w:t>第6.2.12款、6.9.1款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138</w:t>
            </w:r>
          </w:p>
        </w:tc>
        <w:tc>
          <w:tcPr>
            <w:tcW w:w="4791" w:type="dxa"/>
            <w:vAlign w:val="center"/>
          </w:tcPr>
          <w:p>
            <w:pPr>
              <w:spacing w:line="240" w:lineRule="exact"/>
              <w:jc w:val="left"/>
              <w:rPr>
                <w:rFonts w:ascii="仿宋_GB2312" w:hAnsi="宋体" w:eastAsia="仿宋_GB2312"/>
                <w:spacing w:val="-10"/>
                <w:sz w:val="15"/>
                <w:szCs w:val="15"/>
              </w:rPr>
            </w:pPr>
            <w:r>
              <w:rPr>
                <w:rFonts w:hint="eastAsia" w:ascii="仿宋_GB2312" w:hAnsi="宋体" w:eastAsia="仿宋_GB2312"/>
                <w:spacing w:val="-10"/>
                <w:sz w:val="15"/>
                <w:szCs w:val="15"/>
              </w:rPr>
              <w:t>监理人员未按规定对重要隐蔽单元工程（检验批、工序）或关键部位单元工程（检验批、工序）施工质量进行旁站监理并及时、规范、如实的填写旁站记录的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rPr>
                <w:rFonts w:ascii="仿宋_GB2312" w:eastAsia="仿宋_GB2312"/>
                <w:sz w:val="18"/>
                <w:szCs w:val="18"/>
              </w:rPr>
            </w:pPr>
            <w:r>
              <w:rPr>
                <w:rFonts w:hint="eastAsia" w:ascii="仿宋_GB2312" w:hAnsi="宋体" w:eastAsia="仿宋_GB2312"/>
                <w:spacing w:val="-8"/>
                <w:sz w:val="18"/>
                <w:szCs w:val="18"/>
              </w:rPr>
              <w:t>《水利工程施工监理规范》（SL 288-2014）</w:t>
            </w:r>
            <w:r>
              <w:rPr>
                <w:rFonts w:hint="eastAsia" w:ascii="仿宋_GB2312" w:eastAsia="仿宋_GB2312"/>
                <w:sz w:val="18"/>
                <w:szCs w:val="18"/>
              </w:rPr>
              <w:t>第6.2.10款、6.2.11款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139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发生工程质量安全事故隐瞒不报、谎报或者拖延报告期限的</w:t>
            </w:r>
          </w:p>
        </w:tc>
        <w:tc>
          <w:tcPr>
            <w:tcW w:w="745" w:type="dxa"/>
            <w:vAlign w:val="center"/>
          </w:tcPr>
          <w:p>
            <w:pPr>
              <w:spacing w:line="240" w:lineRule="exact"/>
              <w:rPr>
                <w:rFonts w:ascii="仿宋_GB2312" w:hAnsi="宋体" w:eastAsia="仿宋_GB2312"/>
                <w:spacing w:val="-12"/>
                <w:sz w:val="15"/>
                <w:szCs w:val="15"/>
              </w:rPr>
            </w:pPr>
            <w:r>
              <w:rPr>
                <w:rFonts w:hint="eastAsia" w:ascii="仿宋_GB2312" w:hAnsi="宋体" w:eastAsia="仿宋_GB2312"/>
                <w:spacing w:val="-12"/>
                <w:sz w:val="15"/>
                <w:szCs w:val="15"/>
              </w:rPr>
              <w:t>一般及较大事故扣10分，重大事故扣20分，特大事故扣40分</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《建设工程质量管理条例》第七十条</w:t>
            </w:r>
          </w:p>
          <w:p>
            <w:pPr>
              <w:jc w:val="left"/>
              <w:rPr>
                <w:rFonts w:ascii="仿宋_GB2312" w:hAnsi="宋体" w:eastAsia="仿宋_GB2312"/>
                <w:sz w:val="18"/>
                <w:szCs w:val="18"/>
              </w:rPr>
            </w:pPr>
            <w:r>
              <w:rPr>
                <w:rFonts w:hint="eastAsia" w:ascii="仿宋_GB2312" w:hAnsi="宋体" w:eastAsia="仿宋_GB2312"/>
                <w:sz w:val="18"/>
                <w:szCs w:val="18"/>
              </w:rPr>
              <w:t>《生产安全事故报告和调查处理条例》第三十六条</w:t>
            </w:r>
          </w:p>
          <w:p>
            <w:pPr>
              <w:jc w:val="left"/>
              <w:rPr>
                <w:rFonts w:ascii="仿宋_GB2312" w:hAnsi="宋体" w:eastAsia="仿宋_GB2312"/>
                <w:sz w:val="18"/>
                <w:szCs w:val="18"/>
              </w:rPr>
            </w:pPr>
            <w:r>
              <w:rPr>
                <w:rFonts w:hint="eastAsia" w:ascii="仿宋_GB2312" w:hAnsi="宋体" w:eastAsia="仿宋_GB2312"/>
                <w:sz w:val="18"/>
                <w:szCs w:val="18"/>
              </w:rPr>
              <w:t>《水利工程质量事故处理暂行规定》第三十七条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未按有关规定对施工组织设计中的安全技术措施或者专项施工方案进行审查的</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《建设工程安全生产管理条例》第五十七条</w:t>
            </w:r>
          </w:p>
          <w:p>
            <w:pPr>
              <w:jc w:val="left"/>
              <w:rPr>
                <w:rFonts w:ascii="仿宋_GB2312" w:hAnsi="宋体" w:eastAsia="仿宋_GB2312"/>
                <w:sz w:val="18"/>
                <w:szCs w:val="18"/>
              </w:rPr>
            </w:pPr>
            <w:r>
              <w:rPr>
                <w:rFonts w:hint="eastAsia" w:ascii="仿宋_GB2312" w:hAnsi="宋体" w:eastAsia="仿宋_GB2312"/>
                <w:sz w:val="18"/>
                <w:szCs w:val="18"/>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未按规定并结合实际编制监理规划、监理实施细则、安全监理方案等有关监理工作指导文件的</w:t>
            </w:r>
          </w:p>
        </w:tc>
        <w:tc>
          <w:tcPr>
            <w:tcW w:w="745"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pacing w:val="-8"/>
                <w:sz w:val="18"/>
                <w:szCs w:val="18"/>
              </w:rPr>
              <w:t>《水利工程施工监理规范》（SL 288-2014）</w:t>
            </w:r>
            <w:r>
              <w:rPr>
                <w:rFonts w:hint="eastAsia" w:ascii="仿宋_GB2312" w:hAnsi="宋体" w:eastAsia="仿宋_GB2312"/>
                <w:sz w:val="18"/>
                <w:szCs w:val="18"/>
              </w:rPr>
              <w:t>第5章和第6.5节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4、监理单位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b/>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142</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监理企业未按规定对工程项目施工现场安全生产情况每月至少进行一次检查、工程项目监理部每周至少进行一次检查，对检查发现的安全隐患进行跟踪整改合格，并形成书面记录的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《广东省安全生产条例》第十四、十五条</w:t>
            </w:r>
          </w:p>
          <w:p>
            <w:pPr>
              <w:spacing w:line="240" w:lineRule="exact"/>
              <w:jc w:val="left"/>
              <w:rPr>
                <w:rFonts w:ascii="仿宋_GB2312" w:hAnsi="宋体" w:eastAsia="仿宋_GB2312"/>
                <w:sz w:val="15"/>
                <w:szCs w:val="15"/>
              </w:rPr>
            </w:pPr>
            <w:r>
              <w:rPr>
                <w:rFonts w:hint="eastAsia" w:ascii="仿宋_GB2312" w:hAnsi="宋体" w:eastAsia="仿宋_GB2312"/>
                <w:spacing w:val="-8"/>
                <w:sz w:val="15"/>
                <w:szCs w:val="15"/>
              </w:rPr>
              <w:t>《水利工程施工监理规范》（SL 288-2014）</w:t>
            </w:r>
            <w:r>
              <w:rPr>
                <w:rFonts w:hint="eastAsia" w:ascii="仿宋_GB2312" w:hAnsi="宋体" w:eastAsia="仿宋_GB2312"/>
                <w:sz w:val="15"/>
                <w:szCs w:val="15"/>
              </w:rPr>
              <w:t>第6.5节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应当发现而未发现或发现质量安全隐患未及时要求施工单位进行整改的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《建设工程安全生产管理条例》第五十七条</w:t>
            </w:r>
          </w:p>
          <w:p>
            <w:pPr>
              <w:jc w:val="left"/>
              <w:rPr>
                <w:rFonts w:ascii="仿宋_GB2312" w:hAnsi="宋体" w:eastAsia="仿宋_GB2312"/>
                <w:sz w:val="18"/>
                <w:szCs w:val="18"/>
              </w:rPr>
            </w:pPr>
            <w:r>
              <w:rPr>
                <w:rFonts w:hint="eastAsia" w:ascii="仿宋_GB2312" w:hAnsi="宋体" w:eastAsia="仿宋_GB2312"/>
                <w:sz w:val="18"/>
                <w:szCs w:val="18"/>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未依照法律、法规和工程建设强制性标准实施监理的（包括施工单位擅自变更或设计变更手续未完善即擅自进行施工时而未采取有效措施进行制止的）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《建设工程安全生产管理条例》第五十七条</w:t>
            </w:r>
          </w:p>
          <w:p>
            <w:pPr>
              <w:jc w:val="left"/>
              <w:rPr>
                <w:rFonts w:ascii="仿宋_GB2312" w:hAnsi="宋体" w:eastAsia="仿宋_GB2312"/>
                <w:sz w:val="18"/>
                <w:szCs w:val="18"/>
              </w:rPr>
            </w:pPr>
            <w:r>
              <w:rPr>
                <w:rFonts w:hint="eastAsia" w:ascii="仿宋_GB2312" w:hAnsi="宋体" w:eastAsia="仿宋_GB2312"/>
                <w:sz w:val="18"/>
                <w:szCs w:val="18"/>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145</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对设计、施工单位提出的不合理的工程变更未进行审慎审查而随意附和同意的，或串通施工单位进行虚假变更</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《建设工程质量管理条例》第六十七条</w:t>
            </w:r>
          </w:p>
          <w:p>
            <w:pPr>
              <w:spacing w:line="240" w:lineRule="exact"/>
              <w:jc w:val="left"/>
              <w:rPr>
                <w:rFonts w:ascii="仿宋_GB2312" w:hAnsi="宋体" w:eastAsia="仿宋_GB2312"/>
                <w:spacing w:val="-8"/>
                <w:sz w:val="15"/>
                <w:szCs w:val="15"/>
              </w:rPr>
            </w:pPr>
            <w:r>
              <w:rPr>
                <w:rFonts w:hint="eastAsia" w:ascii="仿宋_GB2312" w:hAnsi="宋体" w:eastAsia="仿宋_GB2312"/>
                <w:spacing w:val="-8"/>
                <w:sz w:val="15"/>
                <w:szCs w:val="15"/>
              </w:rPr>
              <w:t>《水利工程施工监理规范》（SL 288-2014）第6.7节</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146</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对施工单位、材料供应商以次充好、偷工减料或不按设计图纸施工等情形监理不到位，不报告、不制止的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20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《建设工程质量管理条例》第六十七条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《建设工程安全生产管理条例》第五十七条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《水利工程建设监理规定》第二十九条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147</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对施工中的安全生产监理不到位，未及时发现存在的安全隐患、未制止施工单位不落实安全生产责任制的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《建设工程质量管理条例》第六十七条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《建设工程安全生产管理条例》第五十七条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《水利工程建设监理规定》第二十九条</w:t>
            </w:r>
          </w:p>
          <w:p>
            <w:pPr>
              <w:spacing w:line="240" w:lineRule="exact"/>
              <w:jc w:val="left"/>
              <w:rPr>
                <w:rFonts w:ascii="仿宋_GB2312" w:hAnsi="宋体" w:eastAsia="仿宋_GB2312"/>
                <w:sz w:val="18"/>
                <w:szCs w:val="18"/>
              </w:rPr>
            </w:pPr>
            <w:r>
              <w:rPr>
                <w:rFonts w:hint="eastAsia" w:ascii="仿宋_GB2312" w:hAnsi="宋体" w:eastAsia="仿宋_GB2312"/>
                <w:sz w:val="15"/>
                <w:szCs w:val="15"/>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148</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对施工单位施工组织不力、人财物投入满足不了施工进度需要的行为监督不到位，不报告、不制止</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5"/>
                <w:szCs w:val="15"/>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149</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违规向施工单位推荐分包队伍、材料设备供应商的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5"/>
                <w:szCs w:val="15"/>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150</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未按照工程建设管理规程规范等相关要求，及时组织分部（分项）、隐蔽工程、危险性较大分部分项工程验收的</w:t>
            </w:r>
          </w:p>
        </w:tc>
        <w:tc>
          <w:tcPr>
            <w:tcW w:w="745" w:type="dxa"/>
            <w:shd w:val="clear" w:color="auto" w:fill="auto"/>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pacing w:val="-8"/>
                <w:sz w:val="15"/>
                <w:szCs w:val="15"/>
              </w:rPr>
              <w:t>《水利工程施工监理规范》（SL 288-2014）</w:t>
            </w:r>
            <w:r>
              <w:rPr>
                <w:rFonts w:hint="eastAsia" w:ascii="仿宋_GB2312" w:hAnsi="宋体" w:eastAsia="仿宋_GB2312"/>
                <w:sz w:val="15"/>
                <w:szCs w:val="15"/>
              </w:rPr>
              <w:t>第6.5、6.9节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施工单位拒不整改或者不停止施工，未及时向有关主管部门报告的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《建设工程安全生产管理条例》第五十七条</w:t>
            </w:r>
          </w:p>
          <w:p>
            <w:pPr>
              <w:jc w:val="left"/>
              <w:rPr>
                <w:rFonts w:ascii="仿宋_GB2312" w:hAnsi="宋体" w:eastAsia="仿宋_GB2312"/>
                <w:sz w:val="18"/>
                <w:szCs w:val="18"/>
              </w:rPr>
            </w:pPr>
            <w:r>
              <w:rPr>
                <w:rFonts w:hint="eastAsia" w:ascii="仿宋_GB2312" w:hAnsi="宋体" w:eastAsia="仿宋_GB2312"/>
                <w:sz w:val="18"/>
                <w:szCs w:val="18"/>
              </w:rPr>
              <w:t>《水利工程建设监理规定》第二十九条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4、监理单位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.3</w:t>
            </w:r>
          </w:p>
          <w:p>
            <w:pPr>
              <w:jc w:val="center"/>
              <w:rPr>
                <w:rFonts w:ascii="仿宋_GB2312" w:hAnsi="宋体" w:eastAsia="仿宋_GB2312"/>
                <w:sz w:val="18"/>
                <w:szCs w:val="18"/>
              </w:rPr>
            </w:pPr>
            <w:r>
              <w:rPr>
                <w:rFonts w:hint="eastAsia" w:ascii="仿宋_GB2312" w:hAnsi="宋体" w:eastAsia="仿宋_GB2312"/>
                <w:sz w:val="18"/>
                <w:szCs w:val="18"/>
              </w:rPr>
              <w:t>质量</w:t>
            </w:r>
          </w:p>
          <w:p>
            <w:pPr>
              <w:jc w:val="center"/>
              <w:rPr>
                <w:rFonts w:ascii="仿宋_GB2312" w:hAnsi="宋体" w:eastAsia="仿宋_GB2312"/>
                <w:sz w:val="18"/>
                <w:szCs w:val="18"/>
              </w:rPr>
            </w:pPr>
            <w:r>
              <w:rPr>
                <w:rFonts w:hint="eastAsia" w:ascii="仿宋_GB2312" w:hAnsi="宋体" w:eastAsia="仿宋_GB2312"/>
                <w:sz w:val="18"/>
                <w:szCs w:val="18"/>
              </w:rPr>
              <w:t>安全</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不接受工程监督机构监督的</w:t>
            </w:r>
          </w:p>
        </w:tc>
        <w:tc>
          <w:tcPr>
            <w:tcW w:w="745" w:type="dxa"/>
            <w:shd w:val="clear" w:color="auto" w:fill="auto"/>
            <w:vAlign w:val="center"/>
          </w:tcPr>
          <w:p>
            <w:pPr>
              <w:jc w:val="center"/>
              <w:rPr>
                <w:rFonts w:ascii="仿宋_GB2312" w:hAnsi="宋体" w:eastAsia="仿宋_GB2312"/>
                <w:spacing w:val="-10"/>
                <w:sz w:val="18"/>
                <w:szCs w:val="18"/>
              </w:rPr>
            </w:pPr>
            <w:r>
              <w:rPr>
                <w:rFonts w:hint="eastAsia" w:ascii="仿宋_GB2312" w:hAnsi="宋体" w:eastAsia="仿宋_GB2312"/>
                <w:spacing w:val="-10"/>
                <w:sz w:val="15"/>
                <w:szCs w:val="15"/>
              </w:rPr>
              <w:t>10</w:t>
            </w:r>
          </w:p>
        </w:tc>
        <w:tc>
          <w:tcPr>
            <w:tcW w:w="4742" w:type="dxa"/>
            <w:vAlign w:val="center"/>
          </w:tcPr>
          <w:p>
            <w:pPr>
              <w:rPr>
                <w:rFonts w:ascii="仿宋_GB2312" w:hAnsi="宋体" w:eastAsia="仿宋_GB2312"/>
                <w:sz w:val="18"/>
                <w:szCs w:val="18"/>
              </w:rPr>
            </w:pPr>
            <w:r>
              <w:rPr>
                <w:rFonts w:hint="eastAsia" w:ascii="仿宋_GB2312" w:hAnsi="宋体" w:eastAsia="仿宋_GB2312"/>
                <w:sz w:val="18"/>
                <w:szCs w:val="18"/>
              </w:rPr>
              <w:t>《水利工程质量管理规定规定》第四十四条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153</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由于监理单位责任造成质量安全事故的</w:t>
            </w:r>
          </w:p>
        </w:tc>
        <w:tc>
          <w:tcPr>
            <w:tcW w:w="745"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rPr>
                <w:rFonts w:ascii="仿宋_GB2312" w:hAnsi="宋体" w:eastAsia="仿宋_GB2312"/>
                <w:sz w:val="18"/>
                <w:szCs w:val="18"/>
              </w:rPr>
            </w:pPr>
            <w:r>
              <w:rPr>
                <w:rFonts w:hint="eastAsia" w:ascii="仿宋_GB2312" w:hAnsi="宋体" w:eastAsia="仿宋_GB2312"/>
                <w:sz w:val="18"/>
                <w:szCs w:val="18"/>
              </w:rPr>
              <w:t>《水利工程质量事故处理暂行规定》第三十二条</w:t>
            </w:r>
          </w:p>
          <w:p>
            <w:pPr>
              <w:rPr>
                <w:rFonts w:ascii="仿宋_GB2312" w:hAnsi="宋体" w:eastAsia="仿宋_GB2312"/>
                <w:sz w:val="18"/>
                <w:szCs w:val="18"/>
              </w:rPr>
            </w:pPr>
            <w:r>
              <w:rPr>
                <w:rFonts w:hint="eastAsia" w:ascii="仿宋_GB2312" w:hAnsi="宋体" w:eastAsia="仿宋_GB2312"/>
                <w:sz w:val="18"/>
                <w:szCs w:val="18"/>
              </w:rPr>
              <w:t>《生产安全事故报告和调查处理条例》第四十条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154</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利用工作便利与项目法人、被监理单位以及建筑材料、建筑构配件和设备供应单位串通，谋取不正当利益的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《水利工程建设监理规定》第二十八条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155</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利用执 (从)业上的便利，索取或者收受项目法人、被监理单位以及建筑材料、建筑构配件和设备供应单位财物的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《水利工程建设监理规定》第三十一条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非法泄露执(从)业中应当保守的秘密的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《水利工程建设监理规定》第三十一条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157</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与从业人员订立协议，免除或者减轻其对从业人员因生产安全事故伤亡依法应承担的责任的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《安全生产法》第一百零三条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项目总监的任命（含变更）不符合相关规定，或项目总监未按规定到岗履职（含参加或组织工程验收），或安排任职项目数量已达到规定限额的项目总监在其他项目任职的</w:t>
            </w:r>
          </w:p>
        </w:tc>
        <w:tc>
          <w:tcPr>
            <w:tcW w:w="74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每次扣10分</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p>
            <w:pPr>
              <w:spacing w:line="240" w:lineRule="exact"/>
              <w:jc w:val="left"/>
              <w:rPr>
                <w:rFonts w:ascii="仿宋_GB2312" w:hAnsi="宋体" w:eastAsia="仿宋_GB2312"/>
                <w:sz w:val="15"/>
                <w:szCs w:val="15"/>
              </w:rPr>
            </w:pPr>
            <w:r>
              <w:rPr>
                <w:rFonts w:hint="eastAsia" w:ascii="仿宋_GB2312" w:hAnsi="宋体" w:eastAsia="仿宋_GB2312"/>
                <w:spacing w:val="-8"/>
                <w:sz w:val="15"/>
                <w:szCs w:val="15"/>
              </w:rPr>
              <w:t>《水利工程施工监理规范》（SL288）</w:t>
            </w:r>
            <w:r>
              <w:rPr>
                <w:rFonts w:hint="eastAsia" w:ascii="仿宋_GB2312" w:hAnsi="宋体" w:eastAsia="仿宋_GB2312"/>
                <w:sz w:val="15"/>
                <w:szCs w:val="15"/>
              </w:rPr>
              <w:t>《</w:t>
            </w:r>
            <w:r>
              <w:rPr>
                <w:rFonts w:hint="eastAsia" w:ascii="仿宋_GB2312" w:hAnsi="宋体" w:eastAsia="仿宋_GB2312"/>
                <w:spacing w:val="-8"/>
                <w:sz w:val="15"/>
                <w:szCs w:val="15"/>
              </w:rPr>
              <w:t>建设工程监理规范》（GB/T50319）</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监理单位与建设单位签订的监理委托合同</w:t>
            </w:r>
          </w:p>
          <w:p>
            <w:pPr>
              <w:spacing w:line="240" w:lineRule="exact"/>
              <w:jc w:val="left"/>
              <w:rPr>
                <w:rFonts w:ascii="仿宋_GB2312" w:hAnsi="微软雅黑" w:eastAsia="仿宋_GB2312"/>
                <w:sz w:val="15"/>
                <w:szCs w:val="15"/>
              </w:rPr>
            </w:pPr>
            <w:r>
              <w:rPr>
                <w:rFonts w:hint="eastAsia" w:ascii="仿宋_GB2312" w:hAnsi="宋体" w:eastAsia="仿宋_GB2312"/>
                <w:sz w:val="15"/>
                <w:szCs w:val="15"/>
              </w:rPr>
              <w:t>《</w:t>
            </w:r>
            <w:r>
              <w:rPr>
                <w:rFonts w:hint="eastAsia" w:ascii="仿宋_GB2312" w:hAnsi="微软雅黑" w:eastAsia="仿宋_GB2312"/>
                <w:bCs/>
                <w:sz w:val="15"/>
                <w:szCs w:val="15"/>
              </w:rPr>
              <w:t>关于建设工程招标投标改革的若干规定</w:t>
            </w:r>
            <w:r>
              <w:rPr>
                <w:rFonts w:hint="eastAsia" w:ascii="仿宋_GB2312" w:hAnsi="宋体" w:eastAsia="仿宋_GB2312"/>
                <w:sz w:val="15"/>
                <w:szCs w:val="15"/>
              </w:rPr>
              <w:t>》（深府[2015]73号]）第二十八、五十四条</w:t>
            </w:r>
          </w:p>
          <w:p>
            <w:pPr>
              <w:spacing w:line="240" w:lineRule="exact"/>
              <w:jc w:val="lef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159</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项目组织机构中的其他成员未按规定到岗履职的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《招标投标法》第六十条</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监理单位与建设单位签订的监理委托合同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160</w:t>
            </w:r>
          </w:p>
        </w:tc>
        <w:tc>
          <w:tcPr>
            <w:tcW w:w="4791" w:type="dxa"/>
            <w:vAlign w:val="center"/>
          </w:tcPr>
          <w:p>
            <w:pPr>
              <w:spacing w:line="240" w:lineRule="exact"/>
              <w:jc w:val="left"/>
              <w:rPr>
                <w:rFonts w:ascii="仿宋_GB2312" w:hAnsi="宋体" w:eastAsia="仿宋_GB2312"/>
                <w:sz w:val="15"/>
                <w:szCs w:val="15"/>
              </w:rPr>
            </w:pPr>
            <w:r>
              <w:rPr>
                <w:rFonts w:hint="eastAsia" w:ascii="仿宋_GB2312" w:eastAsia="仿宋_GB2312"/>
                <w:sz w:val="15"/>
                <w:szCs w:val="15"/>
              </w:rPr>
              <w:t>存在故意拖欠工资行为的，或未落实（含未督促施工企业落实）</w:t>
            </w:r>
            <w:r>
              <w:rPr>
                <w:rFonts w:hint="eastAsia" w:ascii="仿宋_GB2312" w:hAnsi="仿宋" w:eastAsia="仿宋_GB2312" w:cs="宋体"/>
                <w:kern w:val="0"/>
                <w:sz w:val="15"/>
                <w:szCs w:val="15"/>
              </w:rPr>
              <w:t>劳务用工实名制、工资支付分帐管理等制度规定的</w:t>
            </w:r>
          </w:p>
        </w:tc>
        <w:tc>
          <w:tcPr>
            <w:tcW w:w="745" w:type="dxa"/>
            <w:vAlign w:val="center"/>
          </w:tcPr>
          <w:p>
            <w:pPr>
              <w:jc w:val="center"/>
              <w:rPr>
                <w:rFonts w:ascii="仿宋_GB2312" w:hAnsi="宋体" w:eastAsia="仿宋_GB2312"/>
                <w:sz w:val="15"/>
                <w:szCs w:val="15"/>
              </w:rPr>
            </w:pPr>
            <w:r>
              <w:rPr>
                <w:rFonts w:hint="eastAsia" w:ascii="仿宋_GB2312" w:hAnsi="宋体" w:eastAsia="仿宋_GB2312"/>
                <w:sz w:val="15"/>
                <w:szCs w:val="15"/>
              </w:rPr>
              <w:t>20</w:t>
            </w:r>
          </w:p>
        </w:tc>
        <w:tc>
          <w:tcPr>
            <w:tcW w:w="4742" w:type="dxa"/>
            <w:vMerge w:val="restart"/>
            <w:vAlign w:val="center"/>
          </w:tcPr>
          <w:p>
            <w:pPr>
              <w:spacing w:line="200" w:lineRule="exact"/>
              <w:rPr>
                <w:rFonts w:ascii="仿宋_GB2312" w:eastAsia="仿宋_GB2312"/>
                <w:spacing w:val="-10"/>
                <w:sz w:val="15"/>
                <w:szCs w:val="15"/>
              </w:rPr>
            </w:pPr>
            <w:r>
              <w:rPr>
                <w:rFonts w:hint="eastAsia" w:ascii="仿宋_GB2312" w:eastAsia="仿宋_GB2312"/>
                <w:spacing w:val="-10"/>
                <w:sz w:val="15"/>
                <w:szCs w:val="15"/>
              </w:rPr>
              <w:t>《国务院办公厅关于促进建筑业持续健康发展的意见》（国办发</w:t>
            </w:r>
            <w:r>
              <w:rPr>
                <w:rFonts w:ascii="仿宋_GB2312" w:eastAsia="仿宋_GB2312"/>
                <w:spacing w:val="-10"/>
                <w:sz w:val="15"/>
                <w:szCs w:val="15"/>
              </w:rPr>
              <w:t>[2017]19号第（</w:t>
            </w:r>
            <w:r>
              <w:rPr>
                <w:rFonts w:hint="eastAsia" w:ascii="仿宋_GB2312" w:eastAsia="仿宋_GB2312"/>
                <w:spacing w:val="-10"/>
                <w:sz w:val="15"/>
                <w:szCs w:val="15"/>
              </w:rPr>
              <w:t>十三）款</w:t>
            </w:r>
          </w:p>
          <w:p>
            <w:pPr>
              <w:spacing w:line="200" w:lineRule="exact"/>
              <w:rPr>
                <w:rFonts w:ascii="仿宋_GB2312" w:hAnsi="仿宋" w:eastAsia="仿宋_GB2312"/>
                <w:sz w:val="15"/>
                <w:szCs w:val="15"/>
              </w:rPr>
            </w:pPr>
            <w:r>
              <w:rPr>
                <w:rFonts w:hint="eastAsia" w:ascii="仿宋_GB2312" w:hAnsi="仿宋" w:eastAsia="仿宋_GB2312"/>
                <w:sz w:val="15"/>
                <w:szCs w:val="15"/>
              </w:rPr>
              <w:t>《国务院办公厅关于全面治理拖欠农民工工资问题的意见》（国办发〔2016〕1号）</w:t>
            </w:r>
          </w:p>
          <w:p>
            <w:pPr>
              <w:spacing w:line="200" w:lineRule="exact"/>
              <w:rPr>
                <w:rFonts w:ascii="仿宋_GB2312" w:hAnsi="宋体" w:eastAsia="仿宋_GB2312"/>
                <w:spacing w:val="-10"/>
                <w:sz w:val="15"/>
                <w:szCs w:val="15"/>
              </w:rPr>
            </w:pPr>
            <w:r>
              <w:rPr>
                <w:rFonts w:hint="eastAsia" w:ascii="仿宋_GB2312" w:hAnsi="仿宋" w:eastAsia="仿宋_GB2312"/>
                <w:sz w:val="15"/>
                <w:szCs w:val="15"/>
              </w:rPr>
              <w:t>《广东省人民政府办公厅关于全面治理拖欠异地务工人员工资问题的实施意见》（粤府办〔2016〕111号）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161</w:t>
            </w:r>
          </w:p>
        </w:tc>
        <w:tc>
          <w:tcPr>
            <w:tcW w:w="4791" w:type="dxa"/>
            <w:vAlign w:val="center"/>
          </w:tcPr>
          <w:p>
            <w:pPr>
              <w:spacing w:line="240" w:lineRule="exact"/>
              <w:jc w:val="left"/>
              <w:rPr>
                <w:rFonts w:ascii="仿宋_GB2312" w:hAnsi="宋体" w:eastAsia="仿宋_GB2312"/>
                <w:sz w:val="15"/>
                <w:szCs w:val="15"/>
              </w:rPr>
            </w:pPr>
            <w:r>
              <w:rPr>
                <w:rFonts w:hint="eastAsia" w:ascii="仿宋_GB2312" w:eastAsia="仿宋_GB2312"/>
                <w:sz w:val="15"/>
                <w:szCs w:val="15"/>
              </w:rPr>
              <w:t>因故意拖欠工资导致工作人员上访影响社会稳定或人员死亡的</w:t>
            </w:r>
          </w:p>
        </w:tc>
        <w:tc>
          <w:tcPr>
            <w:tcW w:w="745" w:type="dxa"/>
            <w:vAlign w:val="center"/>
          </w:tcPr>
          <w:p>
            <w:pPr>
              <w:jc w:val="center"/>
              <w:rPr>
                <w:rFonts w:ascii="仿宋_GB2312" w:hAnsi="宋体" w:eastAsia="仿宋_GB2312"/>
                <w:sz w:val="15"/>
                <w:szCs w:val="15"/>
              </w:rPr>
            </w:pPr>
            <w:r>
              <w:rPr>
                <w:rFonts w:hint="eastAsia" w:ascii="仿宋_GB2312" w:hAnsi="宋体" w:eastAsia="仿宋_GB2312"/>
                <w:sz w:val="15"/>
                <w:szCs w:val="15"/>
              </w:rPr>
              <w:t>40</w:t>
            </w:r>
          </w:p>
        </w:tc>
        <w:tc>
          <w:tcPr>
            <w:tcW w:w="4742" w:type="dxa"/>
            <w:vMerge w:val="continue"/>
            <w:vAlign w:val="center"/>
          </w:tcPr>
          <w:p>
            <w:pPr>
              <w:spacing w:line="200" w:lineRule="exact"/>
              <w:rPr>
                <w:rFonts w:ascii="仿宋_GB2312" w:eastAsia="仿宋_GB2312"/>
                <w:spacing w:val="-1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01" w:type="dxa"/>
            <w:vMerge w:val="restart"/>
            <w:shd w:val="clear" w:color="auto" w:fill="auto"/>
            <w:vAlign w:val="center"/>
          </w:tcPr>
          <w:p>
            <w:pPr>
              <w:jc w:val="center"/>
              <w:rPr>
                <w:rFonts w:ascii="仿宋_GB2312" w:hAnsi="宋体" w:eastAsia="仿宋_GB2312"/>
                <w:b/>
                <w:sz w:val="18"/>
                <w:szCs w:val="18"/>
              </w:rPr>
            </w:pPr>
            <w:r>
              <w:rPr>
                <w:rFonts w:hint="eastAsia" w:ascii="仿宋_GB2312" w:hAnsi="宋体" w:eastAsia="仿宋_GB2312"/>
                <w:sz w:val="18"/>
                <w:szCs w:val="18"/>
              </w:rPr>
              <w:t>4、监理单位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4.4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162</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对施工单位不按照施工合同履行义务而产生的其他违法违规行为，监理单位不及时纠正，不及时报告的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163</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监理单位有违反《</w:t>
            </w:r>
            <w:r>
              <w:rPr>
                <w:rFonts w:hint="eastAsia" w:ascii="仿宋_GB2312" w:hAnsi="宋体" w:eastAsia="仿宋_GB2312"/>
                <w:spacing w:val="-8"/>
                <w:sz w:val="15"/>
                <w:szCs w:val="15"/>
              </w:rPr>
              <w:t>水利工程施工监理规范》（SL 288）、</w:t>
            </w:r>
            <w:r>
              <w:rPr>
                <w:rFonts w:hint="eastAsia" w:ascii="仿宋_GB2312" w:hAnsi="宋体" w:eastAsia="仿宋_GB2312"/>
                <w:sz w:val="15"/>
                <w:szCs w:val="15"/>
              </w:rPr>
              <w:t>《</w:t>
            </w:r>
            <w:r>
              <w:rPr>
                <w:rFonts w:hint="eastAsia" w:ascii="仿宋_GB2312" w:hAnsi="宋体" w:eastAsia="仿宋_GB2312"/>
                <w:spacing w:val="-8"/>
                <w:sz w:val="15"/>
                <w:szCs w:val="15"/>
              </w:rPr>
              <w:t>建设工程监理规范》（GB/T 50319）其他行为的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每次扣3分</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pacing w:val="-8"/>
                <w:sz w:val="15"/>
                <w:szCs w:val="15"/>
              </w:rPr>
              <w:t>《水利工程施工监理规范》（SL288）</w:t>
            </w:r>
            <w:r>
              <w:rPr>
                <w:rFonts w:hint="eastAsia" w:ascii="仿宋_GB2312" w:hAnsi="宋体" w:eastAsia="仿宋_GB2312"/>
                <w:sz w:val="15"/>
                <w:szCs w:val="15"/>
              </w:rPr>
              <w:t>《</w:t>
            </w:r>
            <w:r>
              <w:rPr>
                <w:rFonts w:hint="eastAsia" w:ascii="仿宋_GB2312" w:hAnsi="宋体" w:eastAsia="仿宋_GB2312"/>
                <w:spacing w:val="-8"/>
                <w:sz w:val="15"/>
                <w:szCs w:val="15"/>
              </w:rPr>
              <w:t>建设工程监理规范》（GB/T50319）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5、招标代理</w:t>
            </w:r>
          </w:p>
          <w:p>
            <w:pPr>
              <w:jc w:val="center"/>
              <w:rPr>
                <w:rFonts w:ascii="仿宋_GB2312" w:hAnsi="宋体" w:eastAsia="仿宋_GB2312"/>
                <w:sz w:val="18"/>
                <w:szCs w:val="18"/>
              </w:rPr>
            </w:pPr>
            <w:r>
              <w:rPr>
                <w:rFonts w:hint="eastAsia" w:ascii="仿宋_GB2312" w:hAnsi="宋体" w:eastAsia="仿宋_GB2312"/>
                <w:sz w:val="18"/>
                <w:szCs w:val="18"/>
              </w:rPr>
              <w:t>单位</w:t>
            </w:r>
          </w:p>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5</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超越本单位资质等级承揽工程的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5"/>
                <w:szCs w:val="15"/>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以欺骗手段取得资质证书承揽工程的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167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允许其他单位或者个人以本单位名义承揽工程的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5</w:t>
            </w:r>
            <w:r>
              <w:rPr>
                <w:rFonts w:ascii="仿宋_GB2312" w:hAnsi="宋体" w:eastAsia="仿宋_GB2312"/>
                <w:sz w:val="18"/>
                <w:szCs w:val="18"/>
              </w:rPr>
              <w:t>.</w:t>
            </w:r>
            <w:r>
              <w:rPr>
                <w:rFonts w:hint="eastAsia"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sz w:val="18"/>
                <w:szCs w:val="18"/>
              </w:rPr>
            </w:pPr>
            <w:r>
              <w:rPr>
                <w:rFonts w:hint="eastAsia" w:ascii="仿宋_GB2312" w:hAnsi="宋体" w:eastAsia="仿宋_GB2312"/>
                <w:sz w:val="18"/>
                <w:szCs w:val="18"/>
              </w:rPr>
              <w:t>代理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168</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泄露应当保密的与招标投标活动有关的情况和资料的，或者与招标人、投标人串通损害国家利益、社会公共利益或者他人合法权益的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《招标投标法》第五十条</w:t>
            </w:r>
          </w:p>
          <w:p>
            <w:pPr>
              <w:jc w:val="left"/>
              <w:rPr>
                <w:rFonts w:ascii="仿宋_GB2312" w:hAnsi="宋体" w:eastAsia="仿宋_GB2312"/>
                <w:sz w:val="18"/>
                <w:szCs w:val="18"/>
              </w:rPr>
            </w:pPr>
            <w:r>
              <w:rPr>
                <w:rFonts w:hint="eastAsia" w:ascii="仿宋_GB2312" w:hAnsi="宋体" w:eastAsia="仿宋_GB2312"/>
                <w:sz w:val="18"/>
                <w:szCs w:val="18"/>
              </w:rPr>
              <w:t>《工程建设项目施工招标投标办法》第六十九条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169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招标文件编制不符合规范、内容不科学不严谨导致引起歧义、招标延期</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《工程建设项目施工招标投标办法》第七十三条</w:t>
            </w:r>
          </w:p>
          <w:p>
            <w:pPr>
              <w:jc w:val="left"/>
              <w:rPr>
                <w:rFonts w:ascii="仿宋_GB2312" w:hAnsi="宋体" w:eastAsia="仿宋_GB2312"/>
                <w:sz w:val="15"/>
                <w:szCs w:val="15"/>
              </w:rPr>
            </w:pPr>
            <w:r>
              <w:rPr>
                <w:rFonts w:hint="eastAsia" w:ascii="仿宋_GB2312" w:hAnsi="宋体" w:eastAsia="仿宋_GB2312"/>
                <w:sz w:val="15"/>
                <w:szCs w:val="15"/>
              </w:rPr>
              <w:t>《工程建设项目勘察设计招标投标办法》第五十条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170</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招标方案和招标文件含有倾向或者排斥投标人的内容，妨碍或者限制投标人之间公平竞争</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《工程建设项目施工招标投标办法》第七十九条</w:t>
            </w:r>
          </w:p>
          <w:p>
            <w:pPr>
              <w:jc w:val="left"/>
              <w:rPr>
                <w:rFonts w:ascii="仿宋_GB2312" w:hAnsi="宋体" w:eastAsia="仿宋_GB2312"/>
                <w:sz w:val="15"/>
                <w:szCs w:val="15"/>
              </w:rPr>
            </w:pPr>
            <w:r>
              <w:rPr>
                <w:rFonts w:hint="eastAsia" w:ascii="仿宋_GB2312" w:hAnsi="宋体" w:eastAsia="仿宋_GB2312"/>
                <w:sz w:val="15"/>
                <w:szCs w:val="15"/>
              </w:rPr>
              <w:t>工程建设项目勘察设计招标投标办法》第五十四条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在两个以上媒介发布的同一招标项目的招标公告的内容不一致的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《招标公告发布暂行办法》第六十条</w:t>
            </w:r>
          </w:p>
          <w:p>
            <w:pPr>
              <w:jc w:val="left"/>
              <w:rPr>
                <w:rFonts w:ascii="仿宋_GB2312" w:hAnsi="宋体" w:eastAsia="仿宋_GB2312"/>
                <w:sz w:val="15"/>
                <w:szCs w:val="15"/>
              </w:rPr>
            </w:pPr>
            <w:r>
              <w:rPr>
                <w:rFonts w:hint="eastAsia" w:ascii="仿宋_GB2312" w:hAnsi="宋体" w:eastAsia="仿宋_GB2312"/>
                <w:sz w:val="15"/>
                <w:szCs w:val="15"/>
              </w:rPr>
              <w:t>《招标投标法》第四十九条</w:t>
            </w:r>
          </w:p>
          <w:p>
            <w:pPr>
              <w:jc w:val="left"/>
              <w:rPr>
                <w:rFonts w:ascii="仿宋_GB2312" w:hAnsi="宋体" w:eastAsia="仿宋_GB2312"/>
                <w:sz w:val="15"/>
                <w:szCs w:val="15"/>
              </w:rPr>
            </w:pPr>
            <w:r>
              <w:rPr>
                <w:rFonts w:hint="eastAsia" w:ascii="仿宋_GB2312" w:hAnsi="宋体" w:eastAsia="仿宋_GB2312"/>
                <w:sz w:val="15"/>
                <w:szCs w:val="15"/>
              </w:rPr>
              <w:t>《招标投标法》第五十一条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jc w:val="center"/>
        </w:trPr>
        <w:tc>
          <w:tcPr>
            <w:tcW w:w="80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5、招标代理</w:t>
            </w:r>
          </w:p>
          <w:p>
            <w:pPr>
              <w:jc w:val="center"/>
              <w:rPr>
                <w:rFonts w:ascii="仿宋_GB2312" w:hAnsi="宋体" w:eastAsia="仿宋_GB2312"/>
                <w:sz w:val="18"/>
                <w:szCs w:val="18"/>
              </w:rPr>
            </w:pPr>
            <w:r>
              <w:rPr>
                <w:rFonts w:hint="eastAsia" w:ascii="仿宋_GB2312" w:hAnsi="宋体" w:eastAsia="仿宋_GB2312"/>
                <w:sz w:val="18"/>
                <w:szCs w:val="18"/>
              </w:rPr>
              <w:t>单位</w:t>
            </w:r>
          </w:p>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5</w:t>
            </w:r>
            <w:r>
              <w:rPr>
                <w:rFonts w:ascii="仿宋_GB2312" w:hAnsi="宋体" w:eastAsia="仿宋_GB2312"/>
                <w:sz w:val="18"/>
                <w:szCs w:val="18"/>
              </w:rPr>
              <w:t>.</w:t>
            </w:r>
            <w:r>
              <w:rPr>
                <w:rFonts w:hint="eastAsia"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招标</w:t>
            </w:r>
          </w:p>
          <w:p>
            <w:pPr>
              <w:jc w:val="center"/>
              <w:rPr>
                <w:rFonts w:ascii="仿宋_GB2312" w:hAnsi="宋体" w:eastAsia="仿宋_GB2312"/>
                <w:b/>
                <w:sz w:val="18"/>
                <w:szCs w:val="18"/>
              </w:rPr>
            </w:pPr>
            <w:r>
              <w:rPr>
                <w:rFonts w:hint="eastAsia" w:ascii="仿宋_GB2312" w:hAnsi="宋体" w:eastAsia="仿宋_GB2312"/>
                <w:sz w:val="18"/>
                <w:szCs w:val="18"/>
              </w:rPr>
              <w:t>代理</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招标公告中合格投标人条件设置违反相关法律法规和规章等相关规定的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《招标公告发布暂行办法》第六十条</w:t>
            </w:r>
          </w:p>
          <w:p>
            <w:pPr>
              <w:jc w:val="left"/>
              <w:rPr>
                <w:rFonts w:ascii="仿宋_GB2312" w:hAnsi="宋体" w:eastAsia="仿宋_GB2312"/>
                <w:sz w:val="15"/>
                <w:szCs w:val="15"/>
              </w:rPr>
            </w:pPr>
            <w:r>
              <w:rPr>
                <w:rFonts w:hint="eastAsia" w:ascii="仿宋_GB2312" w:hAnsi="宋体" w:eastAsia="仿宋_GB2312"/>
                <w:sz w:val="15"/>
                <w:szCs w:val="15"/>
              </w:rPr>
              <w:t>《招标投标法》第四十九条</w:t>
            </w:r>
          </w:p>
          <w:p>
            <w:pPr>
              <w:jc w:val="left"/>
              <w:rPr>
                <w:rFonts w:ascii="仿宋_GB2312" w:hAnsi="宋体" w:eastAsia="仿宋_GB2312"/>
                <w:sz w:val="15"/>
                <w:szCs w:val="15"/>
              </w:rPr>
            </w:pPr>
            <w:r>
              <w:rPr>
                <w:rFonts w:hint="eastAsia" w:ascii="仿宋_GB2312" w:hAnsi="宋体" w:eastAsia="仿宋_GB2312"/>
                <w:sz w:val="15"/>
                <w:szCs w:val="15"/>
              </w:rPr>
              <w:t>《招标投标法》第五十一条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擅自修改经招标人审定的招标方案、招标文件等资料的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不按照招标代理合同约定配合开展招标活动</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801" w:type="dxa"/>
            <w:vMerge w:val="continue"/>
            <w:shd w:val="clear" w:color="auto" w:fill="auto"/>
            <w:vAlign w:val="center"/>
          </w:tcPr>
          <w:p>
            <w:pPr>
              <w:jc w:val="center"/>
              <w:rPr>
                <w:rFonts w:ascii="仿宋_GB2312" w:hAnsi="宋体" w:eastAsia="仿宋_GB2312"/>
                <w:sz w:val="18"/>
                <w:szCs w:val="18"/>
              </w:rPr>
            </w:pPr>
          </w:p>
        </w:tc>
        <w:tc>
          <w:tcPr>
            <w:tcW w:w="834" w:type="dxa"/>
            <w:vAlign w:val="center"/>
          </w:tcPr>
          <w:p>
            <w:pPr>
              <w:jc w:val="center"/>
              <w:rPr>
                <w:rFonts w:ascii="仿宋_GB2312" w:hAnsi="宋体" w:eastAsia="仿宋_GB2312"/>
                <w:sz w:val="18"/>
                <w:szCs w:val="18"/>
              </w:rPr>
            </w:pPr>
            <w:r>
              <w:rPr>
                <w:rFonts w:hint="eastAsia" w:ascii="仿宋_GB2312" w:hAnsi="宋体" w:eastAsia="仿宋_GB2312"/>
                <w:sz w:val="18"/>
                <w:szCs w:val="18"/>
              </w:rPr>
              <w:t>5.3</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不按照招标代理合同履行义务的其他行为的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6、质量检测</w:t>
            </w:r>
          </w:p>
          <w:p>
            <w:pPr>
              <w:jc w:val="center"/>
              <w:rPr>
                <w:rFonts w:ascii="仿宋_GB2312" w:hAnsi="宋体" w:eastAsia="仿宋_GB2312"/>
                <w:sz w:val="18"/>
                <w:szCs w:val="18"/>
              </w:rPr>
            </w:pPr>
            <w:r>
              <w:rPr>
                <w:rFonts w:hint="eastAsia" w:ascii="仿宋_GB2312" w:hAnsi="宋体" w:eastAsia="仿宋_GB2312"/>
                <w:sz w:val="18"/>
                <w:szCs w:val="18"/>
              </w:rPr>
              <w:t>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6</w:t>
            </w:r>
            <w:r>
              <w:rPr>
                <w:rFonts w:ascii="仿宋_GB2312" w:hAnsi="宋体" w:eastAsia="仿宋_GB2312"/>
                <w:sz w:val="18"/>
                <w:szCs w:val="18"/>
              </w:rPr>
              <w:t>.1</w:t>
            </w:r>
          </w:p>
          <w:p>
            <w:pPr>
              <w:jc w:val="center"/>
              <w:rPr>
                <w:rFonts w:ascii="仿宋_GB2312" w:hAnsi="宋体" w:eastAsia="仿宋_GB2312"/>
                <w:sz w:val="18"/>
                <w:szCs w:val="18"/>
              </w:rPr>
            </w:pPr>
            <w:r>
              <w:rPr>
                <w:rFonts w:hint="eastAsia" w:ascii="仿宋_GB2312" w:hAnsi="宋体" w:eastAsia="仿宋_GB2312"/>
                <w:sz w:val="18"/>
                <w:szCs w:val="18"/>
              </w:rPr>
              <w:t>资质</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176</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未取得相应的资质，擅自承担检测业务的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《水利工程质量检测管理规定》第二十四条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177</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超出资质等级范围从事检测活动的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p>
            <w:pPr>
              <w:spacing w:line="240" w:lineRule="exact"/>
              <w:jc w:val="left"/>
              <w:rPr>
                <w:rFonts w:ascii="仿宋_GB2312" w:hAnsi="宋体" w:eastAsia="仿宋_GB2312"/>
                <w:sz w:val="15"/>
                <w:szCs w:val="15"/>
              </w:rPr>
            </w:pPr>
            <w:r>
              <w:rPr>
                <w:rFonts w:hint="eastAsia" w:ascii="仿宋_GB2312" w:hAnsi="宋体" w:eastAsia="仿宋_GB2312"/>
                <w:sz w:val="15"/>
                <w:szCs w:val="15"/>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6</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合同</w:t>
            </w:r>
          </w:p>
          <w:p>
            <w:pPr>
              <w:jc w:val="center"/>
              <w:rPr>
                <w:rFonts w:ascii="仿宋_GB2312" w:hAnsi="宋体" w:eastAsia="仿宋_GB2312"/>
                <w:sz w:val="18"/>
                <w:szCs w:val="18"/>
              </w:rPr>
            </w:pPr>
            <w:r>
              <w:rPr>
                <w:rFonts w:hint="eastAsia" w:ascii="仿宋_GB2312" w:hAnsi="宋体" w:eastAsia="仿宋_GB2312"/>
                <w:sz w:val="18"/>
                <w:szCs w:val="18"/>
              </w:rPr>
              <w:t>履行</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178</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在检测中发现不合格材料、不合格样品隐瞒不报</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801" w:type="dxa"/>
            <w:vMerge w:val="continue"/>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179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质量检测报告签发不符合规定</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6、质量检测</w:t>
            </w:r>
          </w:p>
          <w:p>
            <w:pPr>
              <w:jc w:val="center"/>
              <w:rPr>
                <w:rFonts w:ascii="仿宋_GB2312" w:hAnsi="宋体" w:eastAsia="仿宋_GB2312"/>
                <w:b/>
                <w:sz w:val="18"/>
                <w:szCs w:val="18"/>
              </w:rPr>
            </w:pPr>
            <w:r>
              <w:rPr>
                <w:rFonts w:hint="eastAsia" w:ascii="仿宋_GB2312" w:hAnsi="宋体" w:eastAsia="仿宋_GB2312"/>
                <w:sz w:val="18"/>
                <w:szCs w:val="18"/>
              </w:rPr>
              <w:t>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6</w:t>
            </w:r>
            <w:r>
              <w:rPr>
                <w:rFonts w:ascii="仿宋_GB2312" w:hAnsi="宋体" w:eastAsia="仿宋_GB2312"/>
                <w:sz w:val="18"/>
                <w:szCs w:val="18"/>
              </w:rPr>
              <w:t>.2</w:t>
            </w:r>
          </w:p>
          <w:p>
            <w:pPr>
              <w:jc w:val="center"/>
              <w:rPr>
                <w:rFonts w:ascii="仿宋_GB2312" w:hAnsi="宋体" w:eastAsia="仿宋_GB2312"/>
                <w:sz w:val="18"/>
                <w:szCs w:val="18"/>
              </w:rPr>
            </w:pPr>
            <w:r>
              <w:rPr>
                <w:rFonts w:hint="eastAsia" w:ascii="仿宋_GB2312" w:hAnsi="宋体" w:eastAsia="仿宋_GB2312"/>
                <w:sz w:val="18"/>
                <w:szCs w:val="18"/>
              </w:rPr>
              <w:t>合同</w:t>
            </w:r>
          </w:p>
          <w:p>
            <w:pPr>
              <w:jc w:val="center"/>
              <w:rPr>
                <w:rFonts w:ascii="仿宋_GB2312" w:hAnsi="宋体" w:eastAsia="仿宋_GB2312"/>
                <w:b/>
                <w:sz w:val="18"/>
                <w:szCs w:val="18"/>
              </w:rPr>
            </w:pPr>
            <w:r>
              <w:rPr>
                <w:rFonts w:hint="eastAsia" w:ascii="仿宋_GB2312" w:hAnsi="宋体" w:eastAsia="仿宋_GB2312"/>
                <w:sz w:val="18"/>
                <w:szCs w:val="18"/>
              </w:rPr>
              <w:t>履行</w:t>
            </w: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180</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未按照国家和行业标准、规范进行检测的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181</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档案资料管理混乱，造成检测数据无法追溯的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《水利工程质量检测管理规定》第二十七条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182</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伪造检测数据和检测结论，出具虚假质量检测报告的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《水利工程质量检测管理规定》第二十八条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801" w:type="dxa"/>
            <w:vMerge w:val="continue"/>
            <w:shd w:val="clear" w:color="auto" w:fill="auto"/>
            <w:vAlign w:val="center"/>
          </w:tcPr>
          <w:p>
            <w:pPr>
              <w:jc w:val="center"/>
              <w:rPr>
                <w:rFonts w:ascii="仿宋_GB2312" w:hAnsi="宋体" w:eastAsia="仿宋_GB2312"/>
                <w:b/>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183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不按照与招标人订立的合同履行义务的其他行为</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7、供货（甲供）单位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7.1资质管理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184</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超出资质范围从事生产经营活动的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20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p>
            <w:pPr>
              <w:spacing w:line="240" w:lineRule="exact"/>
              <w:jc w:val="left"/>
              <w:rPr>
                <w:rFonts w:ascii="仿宋_GB2312" w:hAnsi="宋体"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185</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未取得相应的资质（或许可），擅自承担从事生产经营活动的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40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《建设工程质量管理条例》第六十条</w:t>
            </w:r>
          </w:p>
          <w:p>
            <w:pPr>
              <w:spacing w:line="240" w:lineRule="exact"/>
              <w:jc w:val="left"/>
              <w:rPr>
                <w:rFonts w:ascii="仿宋_GB2312" w:hAnsi="宋体"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7.2招标投标</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187</w:t>
            </w:r>
          </w:p>
        </w:tc>
        <w:tc>
          <w:tcPr>
            <w:tcW w:w="4791" w:type="dxa"/>
            <w:tcBorders>
              <w:bottom w:val="single" w:color="auto" w:sz="4" w:space="0"/>
            </w:tcBorders>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以他人名义投标或者以其他方式弄虚作假，骗取中标的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将中标项目转让给他人的，将中标项目肢解后分别转让给他人的，违反本法规定将中标项目的部分主体、关键性工作分包给他人的，或者分包人再次分包的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《招标投标法》第五十八条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7、供货（甲供）单位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7.2招标投标</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189</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非因不可抗力原因，中标人不按照与招标人订立的合同履行义务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190</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捏造或虚构事项投诉干扰招标工作正常进行的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bCs/>
                <w:sz w:val="18"/>
                <w:szCs w:val="18"/>
                <w:shd w:val="clear" w:color="auto" w:fill="FFFFFF"/>
              </w:rPr>
              <w:t>《工程建设项目招标投标活动投诉处理办法》(国家七部委11号令)第二十六条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7.3质量安全</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191</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提供货物质量经有关单位验收或监督抽检（含飞行检测）不合格的</w:t>
            </w:r>
          </w:p>
        </w:tc>
        <w:tc>
          <w:tcPr>
            <w:tcW w:w="745" w:type="dxa"/>
            <w:vAlign w:val="center"/>
          </w:tcPr>
          <w:p>
            <w:pPr>
              <w:spacing w:line="240" w:lineRule="exact"/>
              <w:jc w:val="center"/>
              <w:rPr>
                <w:rFonts w:ascii="仿宋_GB2312" w:hAnsi="宋体" w:eastAsia="仿宋_GB2312"/>
                <w:spacing w:val="-10"/>
                <w:sz w:val="18"/>
                <w:szCs w:val="18"/>
              </w:rPr>
            </w:pPr>
            <w:r>
              <w:rPr>
                <w:rFonts w:hint="eastAsia" w:ascii="仿宋_GB2312" w:hAnsi="宋体" w:eastAsia="仿宋_GB2312"/>
                <w:spacing w:val="-10"/>
                <w:sz w:val="18"/>
                <w:szCs w:val="18"/>
              </w:rPr>
              <w:t>20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192</w:t>
            </w:r>
          </w:p>
        </w:tc>
        <w:tc>
          <w:tcPr>
            <w:tcW w:w="4791"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未按规定提供相应的合格证明材料、安装或使用说明书等文件资料的</w:t>
            </w:r>
          </w:p>
        </w:tc>
        <w:tc>
          <w:tcPr>
            <w:tcW w:w="745" w:type="dxa"/>
            <w:vAlign w:val="center"/>
          </w:tcPr>
          <w:p>
            <w:pPr>
              <w:spacing w:line="240" w:lineRule="exact"/>
              <w:jc w:val="center"/>
              <w:rPr>
                <w:rFonts w:ascii="仿宋_GB2312" w:hAnsi="宋体" w:eastAsia="仿宋_GB2312"/>
                <w:sz w:val="15"/>
                <w:szCs w:val="15"/>
              </w:rPr>
            </w:pPr>
            <w:r>
              <w:rPr>
                <w:rFonts w:hint="eastAsia" w:ascii="仿宋_GB2312" w:hAnsi="宋体" w:eastAsia="仿宋_GB2312"/>
                <w:sz w:val="15"/>
                <w:szCs w:val="15"/>
              </w:rPr>
              <w:t>10</w:t>
            </w:r>
          </w:p>
        </w:tc>
        <w:tc>
          <w:tcPr>
            <w:tcW w:w="4742" w:type="dxa"/>
            <w:vAlign w:val="center"/>
          </w:tcPr>
          <w:p>
            <w:pPr>
              <w:spacing w:line="240" w:lineRule="exact"/>
              <w:jc w:val="left"/>
              <w:rPr>
                <w:rFonts w:ascii="仿宋_GB2312" w:hAnsi="宋体" w:eastAsia="仿宋_GB2312"/>
                <w:sz w:val="15"/>
                <w:szCs w:val="15"/>
              </w:rPr>
            </w:pPr>
            <w:r>
              <w:rPr>
                <w:rFonts w:hint="eastAsia" w:ascii="仿宋_GB2312" w:hAnsi="宋体" w:eastAsia="仿宋_GB2312"/>
                <w:sz w:val="15"/>
                <w:szCs w:val="15"/>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193</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未按约定履行货物出厂验收程序的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7.4</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194</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未按合同约定时间提供货物的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195</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不配合安装或不提供售后服务</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b/>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196</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不按照与招标人订立的合同履行义务的其他行为</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8、造价咨询</w:t>
            </w:r>
          </w:p>
          <w:p>
            <w:pPr>
              <w:jc w:val="center"/>
              <w:rPr>
                <w:rFonts w:ascii="仿宋_GB2312" w:hAnsi="宋体" w:eastAsia="仿宋_GB2312"/>
                <w:sz w:val="18"/>
                <w:szCs w:val="18"/>
              </w:rPr>
            </w:pPr>
            <w:r>
              <w:rPr>
                <w:rFonts w:hint="eastAsia" w:ascii="仿宋_GB2312" w:hAnsi="宋体" w:eastAsia="仿宋_GB2312"/>
                <w:sz w:val="18"/>
                <w:szCs w:val="18"/>
              </w:rPr>
              <w:t>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8.1资质管理</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197</w:t>
            </w:r>
          </w:p>
        </w:tc>
        <w:tc>
          <w:tcPr>
            <w:tcW w:w="4791" w:type="dxa"/>
            <w:vAlign w:val="center"/>
          </w:tcPr>
          <w:p>
            <w:pPr>
              <w:jc w:val="left"/>
              <w:rPr>
                <w:rFonts w:ascii="仿宋_GB2312" w:hAnsi="宋体" w:eastAsia="仿宋_GB2312"/>
                <w:sz w:val="18"/>
                <w:szCs w:val="18"/>
              </w:rPr>
            </w:pPr>
            <w:r>
              <w:rPr>
                <w:rFonts w:hint="eastAsia" w:ascii="仿宋_GB2312" w:hAnsi="宋体" w:eastAsia="仿宋_GB2312"/>
                <w:sz w:val="18"/>
                <w:szCs w:val="18"/>
              </w:rPr>
              <w:t>超出资质范围从事生产经营活动的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p>
            <w:pPr>
              <w:jc w:val="left"/>
              <w:rPr>
                <w:rFonts w:ascii="仿宋_GB2312" w:hAnsi="宋体" w:eastAsia="仿宋_GB2312"/>
                <w:sz w:val="18"/>
                <w:szCs w:val="18"/>
              </w:rPr>
            </w:pPr>
            <w:r>
              <w:rPr>
                <w:rFonts w:hint="eastAsia" w:ascii="仿宋_GB2312" w:hAnsi="宋体" w:eastAsia="仿宋_GB2312"/>
                <w:sz w:val="18"/>
                <w:szCs w:val="18"/>
              </w:rPr>
              <w:t>《深圳市建设工程造价管理规定》第三十六条</w:t>
            </w:r>
          </w:p>
          <w:p>
            <w:pPr>
              <w:jc w:val="lef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198</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未取得相应的资质（或许可），擅自承担从事生产经营活动的</w:t>
            </w:r>
          </w:p>
        </w:tc>
        <w:tc>
          <w:tcPr>
            <w:tcW w:w="74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《建设工程质量管理条例》第六十条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801" w:type="dxa"/>
            <w:vMerge w:val="continue"/>
            <w:vAlign w:val="center"/>
          </w:tcPr>
          <w:p>
            <w:pPr>
              <w:jc w:val="center"/>
              <w:rPr>
                <w:rFonts w:ascii="仿宋_GB2312" w:hAnsi="宋体" w:eastAsia="仿宋_GB2312"/>
                <w:sz w:val="18"/>
                <w:szCs w:val="18"/>
              </w:rPr>
            </w:pPr>
          </w:p>
        </w:tc>
        <w:tc>
          <w:tcPr>
            <w:tcW w:w="834" w:type="dxa"/>
            <w:vAlign w:val="center"/>
          </w:tcPr>
          <w:p>
            <w:pPr>
              <w:jc w:val="center"/>
              <w:rPr>
                <w:rFonts w:ascii="仿宋_GB2312" w:hAnsi="宋体" w:eastAsia="仿宋_GB2312"/>
                <w:sz w:val="18"/>
                <w:szCs w:val="18"/>
              </w:rPr>
            </w:pPr>
            <w:r>
              <w:rPr>
                <w:rFonts w:hint="eastAsia" w:ascii="仿宋_GB2312" w:hAnsi="宋体" w:eastAsia="仿宋_GB2312"/>
                <w:sz w:val="18"/>
                <w:szCs w:val="18"/>
              </w:rPr>
              <w:t>8.2成果质量</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199</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未严格按相关规定认真履职，导致所编制的招标控制价偏差超过5%的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《招标投标法》第六十条</w:t>
            </w:r>
          </w:p>
          <w:p>
            <w:pPr>
              <w:jc w:val="left"/>
              <w:rPr>
                <w:rFonts w:ascii="仿宋_GB2312" w:hAnsi="宋体" w:eastAsia="仿宋_GB2312"/>
                <w:sz w:val="15"/>
                <w:szCs w:val="15"/>
              </w:rPr>
            </w:pPr>
            <w:r>
              <w:rPr>
                <w:rFonts w:hint="eastAsia" w:ascii="仿宋_GB2312" w:hAnsi="宋体" w:eastAsia="仿宋_GB2312"/>
                <w:sz w:val="15"/>
                <w:szCs w:val="15"/>
              </w:rPr>
              <w:t>《深圳市建设工程造价管理规定》第三十六、四十一条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801"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8、造价咨询</w:t>
            </w:r>
          </w:p>
          <w:p>
            <w:pPr>
              <w:jc w:val="center"/>
              <w:rPr>
                <w:rFonts w:ascii="仿宋_GB2312" w:hAnsi="宋体" w:eastAsia="仿宋_GB2312"/>
                <w:sz w:val="18"/>
                <w:szCs w:val="18"/>
              </w:rPr>
            </w:pPr>
            <w:r>
              <w:rPr>
                <w:rFonts w:hint="eastAsia" w:ascii="仿宋_GB2312" w:hAnsi="宋体" w:eastAsia="仿宋_GB2312"/>
                <w:sz w:val="18"/>
                <w:szCs w:val="18"/>
              </w:rPr>
              <w:t>单位</w:t>
            </w: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8.2成果质量</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200</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未严格按相关规定认真履职，导致所编制的结算被审计部门核减，因核减率超5%但未超10%的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p>
            <w:pPr>
              <w:jc w:val="left"/>
              <w:rPr>
                <w:rFonts w:ascii="仿宋_GB2312" w:hAnsi="宋体" w:eastAsia="仿宋_GB2312"/>
                <w:sz w:val="18"/>
                <w:szCs w:val="18"/>
              </w:rPr>
            </w:pPr>
            <w:r>
              <w:rPr>
                <w:rFonts w:hint="eastAsia" w:ascii="仿宋_GB2312" w:hAnsi="宋体" w:eastAsia="仿宋_GB2312"/>
                <w:sz w:val="18"/>
                <w:szCs w:val="18"/>
              </w:rPr>
              <w:t>《深圳市建设工程造价管理规定》第三十六、四十四、四十五条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vAlign w:val="center"/>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201</w:t>
            </w:r>
          </w:p>
        </w:tc>
        <w:tc>
          <w:tcPr>
            <w:tcW w:w="4791"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未严格按相关规定认真履职，导致所编制的结算被审计部门核减，核减率超10%及以上的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40</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p>
            <w:pPr>
              <w:jc w:val="left"/>
              <w:rPr>
                <w:rFonts w:ascii="仿宋_GB2312" w:hAnsi="宋体" w:eastAsia="仿宋_GB2312"/>
                <w:sz w:val="18"/>
                <w:szCs w:val="18"/>
              </w:rPr>
            </w:pPr>
            <w:r>
              <w:rPr>
                <w:rFonts w:hint="eastAsia" w:ascii="仿宋_GB2312" w:hAnsi="宋体" w:eastAsia="仿宋_GB2312"/>
                <w:sz w:val="18"/>
                <w:szCs w:val="18"/>
              </w:rPr>
              <w:t>《深圳市建设工程造价管理规定》第三十六、四十四、四十五条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8.3</w:t>
            </w:r>
          </w:p>
          <w:p>
            <w:pPr>
              <w:jc w:val="center"/>
              <w:rPr>
                <w:rFonts w:ascii="仿宋_GB2312" w:hAnsi="宋体" w:eastAsia="仿宋_GB2312"/>
                <w:sz w:val="18"/>
                <w:szCs w:val="18"/>
              </w:rPr>
            </w:pPr>
            <w:r>
              <w:rPr>
                <w:rFonts w:hint="eastAsia" w:ascii="仿宋_GB2312" w:hAnsi="宋体" w:eastAsia="仿宋_GB2312"/>
                <w:sz w:val="18"/>
                <w:szCs w:val="18"/>
              </w:rPr>
              <w:t>其他</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202</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与其他单位串通、弄虚作假，导致造价成果失实的</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w:t>
            </w:r>
          </w:p>
        </w:tc>
        <w:tc>
          <w:tcPr>
            <w:tcW w:w="4742" w:type="dxa"/>
            <w:vAlign w:val="center"/>
          </w:tcPr>
          <w:p>
            <w:pPr>
              <w:jc w:val="left"/>
              <w:rPr>
                <w:rFonts w:ascii="仿宋_GB2312" w:hAnsi="宋体" w:eastAsia="仿宋_GB2312"/>
                <w:sz w:val="15"/>
                <w:szCs w:val="15"/>
              </w:rPr>
            </w:pPr>
            <w:r>
              <w:rPr>
                <w:rFonts w:hint="eastAsia" w:ascii="仿宋_GB2312" w:hAnsi="宋体" w:eastAsia="仿宋_GB2312"/>
                <w:sz w:val="15"/>
                <w:szCs w:val="15"/>
              </w:rPr>
              <w:t>《招标投标法》第六十条</w:t>
            </w:r>
          </w:p>
          <w:p>
            <w:pPr>
              <w:jc w:val="left"/>
              <w:rPr>
                <w:rFonts w:ascii="仿宋_GB2312" w:hAnsi="宋体" w:eastAsia="仿宋_GB2312"/>
                <w:sz w:val="15"/>
                <w:szCs w:val="15"/>
              </w:rPr>
            </w:pPr>
            <w:r>
              <w:rPr>
                <w:rFonts w:hint="eastAsia" w:ascii="仿宋_GB2312" w:hAnsi="宋体" w:eastAsia="仿宋_GB2312"/>
                <w:sz w:val="15"/>
                <w:szCs w:val="15"/>
              </w:rPr>
              <w:t>《深圳市建设工程造价管理规定》第三十六、四十五条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801" w:type="dxa"/>
            <w:vMerge w:val="continue"/>
            <w:vAlign w:val="center"/>
          </w:tcPr>
          <w:p>
            <w:pPr>
              <w:jc w:val="center"/>
              <w:rPr>
                <w:rFonts w:ascii="仿宋_GB2312" w:hAnsi="宋体" w:eastAsia="仿宋_GB2312"/>
                <w:sz w:val="18"/>
                <w:szCs w:val="18"/>
              </w:rPr>
            </w:pPr>
          </w:p>
        </w:tc>
        <w:tc>
          <w:tcPr>
            <w:tcW w:w="834" w:type="dxa"/>
            <w:vMerge w:val="continue"/>
          </w:tcPr>
          <w:p>
            <w:pPr>
              <w:jc w:val="cente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203</w:t>
            </w:r>
          </w:p>
        </w:tc>
        <w:tc>
          <w:tcPr>
            <w:tcW w:w="4791" w:type="dxa"/>
            <w:tcBorders>
              <w:bottom w:val="single" w:color="auto" w:sz="4" w:space="0"/>
            </w:tcBorders>
            <w:vAlign w:val="center"/>
          </w:tcPr>
          <w:p>
            <w:pPr>
              <w:jc w:val="left"/>
              <w:rPr>
                <w:rFonts w:ascii="仿宋_GB2312" w:hAnsi="宋体" w:eastAsia="仿宋_GB2312"/>
                <w:sz w:val="18"/>
                <w:szCs w:val="18"/>
              </w:rPr>
            </w:pPr>
            <w:r>
              <w:rPr>
                <w:rFonts w:hint="eastAsia" w:ascii="仿宋_GB2312" w:hAnsi="宋体" w:eastAsia="仿宋_GB2312"/>
                <w:sz w:val="18"/>
                <w:szCs w:val="18"/>
              </w:rPr>
              <w:t>中标人不按照与招标人订立的合同履行义务的其他行为</w:t>
            </w:r>
          </w:p>
        </w:tc>
        <w:tc>
          <w:tcPr>
            <w:tcW w:w="7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4742" w:type="dxa"/>
            <w:vAlign w:val="center"/>
          </w:tcPr>
          <w:p>
            <w:pPr>
              <w:jc w:val="left"/>
              <w:rPr>
                <w:rFonts w:ascii="仿宋_GB2312" w:hAnsi="宋体" w:eastAsia="仿宋_GB2312"/>
                <w:sz w:val="18"/>
                <w:szCs w:val="18"/>
              </w:rPr>
            </w:pPr>
            <w:r>
              <w:rPr>
                <w:rFonts w:hint="eastAsia" w:ascii="仿宋_GB2312" w:hAnsi="宋体" w:eastAsia="仿宋_GB2312"/>
                <w:sz w:val="18"/>
                <w:szCs w:val="18"/>
              </w:rPr>
              <w:t>《招标投标法》第六十条</w:t>
            </w:r>
          </w:p>
        </w:tc>
      </w:tr>
    </w:tbl>
    <w:p>
      <w:pPr>
        <w:spacing w:line="560" w:lineRule="exact"/>
        <w:ind w:left="1172" w:hanging="542"/>
        <w:jc w:val="center"/>
        <w:rPr>
          <w:rFonts w:ascii="宋体" w:hAnsi="宋体"/>
          <w:b/>
          <w:sz w:val="36"/>
          <w:szCs w:val="36"/>
        </w:rPr>
        <w:sectPr>
          <w:footerReference r:id="rId6" w:type="first"/>
          <w:pgSz w:w="16838" w:h="11906" w:orient="landscape"/>
          <w:pgMar w:top="2098" w:right="1474" w:bottom="1984" w:left="1587" w:header="0" w:footer="1474" w:gutter="0"/>
          <w:cols w:space="425" w:num="1"/>
          <w:titlePg/>
          <w:docGrid w:type="lines" w:linePitch="312" w:charSpace="0"/>
        </w:sectPr>
      </w:pPr>
    </w:p>
    <w:p>
      <w:pPr>
        <w:pStyle w:val="20"/>
        <w:widowControl/>
        <w:spacing w:line="480" w:lineRule="auto"/>
        <w:ind w:right="42" w:firstLine="0" w:firstLineChars="0"/>
        <w:rPr>
          <w:rFonts w:ascii="黑体" w:hAnsi="黑体" w:eastAsia="黑体"/>
          <w:kern w:val="0"/>
          <w:sz w:val="32"/>
          <w:szCs w:val="32"/>
        </w:rPr>
      </w:pPr>
      <w:r>
        <w:rPr>
          <w:rFonts w:hint="eastAsia" w:ascii="黑体" w:hAnsi="黑体" w:eastAsia="黑体"/>
          <w:kern w:val="0"/>
          <w:sz w:val="32"/>
          <w:szCs w:val="32"/>
        </w:rPr>
        <w:t>附件2</w:t>
      </w:r>
    </w:p>
    <w:p>
      <w:pPr>
        <w:widowControl/>
        <w:spacing w:line="600" w:lineRule="exact"/>
        <w:ind w:right="40"/>
        <w:jc w:val="center"/>
        <w:rPr>
          <w:rFonts w:ascii="方正小标宋_GBK" w:hAnsi="宋体" w:eastAsia="方正小标宋_GBK"/>
          <w:bCs/>
          <w:kern w:val="0"/>
          <w:sz w:val="44"/>
          <w:szCs w:val="44"/>
        </w:rPr>
      </w:pPr>
      <w:r>
        <w:rPr>
          <w:rFonts w:hint="eastAsia" w:ascii="方正小标宋_GBK" w:hAnsi="宋体" w:eastAsia="方正小标宋_GBK"/>
          <w:bCs/>
          <w:kern w:val="0"/>
          <w:sz w:val="44"/>
          <w:szCs w:val="44"/>
        </w:rPr>
        <w:t>不良行为申报表</w:t>
      </w:r>
    </w:p>
    <w:p>
      <w:pPr>
        <w:jc w:val="center"/>
        <w:rPr>
          <w:rFonts w:ascii="宋体" w:hAnsi="宋体"/>
          <w:sz w:val="24"/>
        </w:rPr>
      </w:pPr>
    </w:p>
    <w:p>
      <w:pPr>
        <w:jc w:val="center"/>
        <w:rPr>
          <w:rFonts w:ascii="仿宋_GB2312" w:hAnsi="宋体" w:eastAsia="仿宋_GB2312"/>
          <w:sz w:val="24"/>
        </w:rPr>
      </w:pPr>
      <w:r>
        <w:rPr>
          <w:rFonts w:hint="eastAsia" w:ascii="宋体" w:hAnsi="宋体"/>
          <w:sz w:val="24"/>
        </w:rPr>
        <w:t xml:space="preserve">                                    </w:t>
      </w:r>
      <w:r>
        <w:rPr>
          <w:rFonts w:hint="eastAsia" w:ascii="仿宋_GB2312" w:hAnsi="宋体" w:eastAsia="仿宋_GB2312"/>
          <w:sz w:val="24"/>
        </w:rPr>
        <w:t xml:space="preserve">                 年　  月   日</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3645"/>
        <w:gridCol w:w="1316"/>
        <w:gridCol w:w="2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申报单位</w:t>
            </w:r>
          </w:p>
        </w:tc>
        <w:tc>
          <w:tcPr>
            <w:tcW w:w="7138" w:type="dxa"/>
            <w:gridSpan w:val="3"/>
          </w:tcPr>
          <w:p>
            <w:pPr>
              <w:ind w:firstLine="5040" w:firstLineChars="1800"/>
              <w:rPr>
                <w:rFonts w:ascii="仿宋_GB2312" w:hAnsi="宋体" w:eastAsia="仿宋_GB2312"/>
                <w:sz w:val="28"/>
                <w:szCs w:val="28"/>
              </w:rPr>
            </w:pPr>
            <w:r>
              <w:rPr>
                <w:rFonts w:hint="eastAsia" w:ascii="仿宋_GB2312" w:hAnsi="宋体" w:eastAsia="仿宋_GB2312"/>
                <w:sz w:val="28"/>
                <w:szCs w:val="28"/>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7" w:hRule="atLeast"/>
          <w:jc w:val="center"/>
        </w:trPr>
        <w:tc>
          <w:tcPr>
            <w:tcW w:w="1384" w:type="dxa"/>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被认定</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3645" w:type="dxa"/>
            <w:tcBorders>
              <w:right w:val="single" w:color="auto" w:sz="4" w:space="0"/>
            </w:tcBorders>
            <w:vAlign w:val="center"/>
          </w:tcPr>
          <w:p>
            <w:pPr>
              <w:jc w:val="center"/>
              <w:rPr>
                <w:rFonts w:ascii="仿宋_GB2312" w:hAnsi="宋体" w:eastAsia="仿宋_GB2312"/>
                <w:b/>
                <w:bCs/>
                <w:sz w:val="28"/>
                <w:szCs w:val="28"/>
              </w:rPr>
            </w:pPr>
          </w:p>
        </w:tc>
        <w:tc>
          <w:tcPr>
            <w:tcW w:w="1316" w:type="dxa"/>
            <w:tcBorders>
              <w:left w:val="single" w:color="auto" w:sz="4" w:space="0"/>
              <w:right w:val="single" w:color="auto" w:sz="4" w:space="0"/>
            </w:tcBorders>
            <w:vAlign w:val="center"/>
          </w:tcPr>
          <w:p>
            <w:pPr>
              <w:spacing w:line="480" w:lineRule="exact"/>
              <w:jc w:val="center"/>
              <w:rPr>
                <w:rFonts w:ascii="仿宋_GB2312" w:hAnsi="宋体" w:eastAsia="仿宋_GB2312"/>
                <w:sz w:val="28"/>
                <w:szCs w:val="28"/>
              </w:rPr>
            </w:pPr>
            <w:r>
              <w:rPr>
                <w:rFonts w:hint="eastAsia" w:ascii="仿宋_GB2312" w:hAnsi="宋体" w:eastAsia="仿宋_GB2312"/>
                <w:sz w:val="28"/>
                <w:szCs w:val="28"/>
              </w:rPr>
              <w:t>申报认定情况</w:t>
            </w:r>
          </w:p>
        </w:tc>
        <w:tc>
          <w:tcPr>
            <w:tcW w:w="2177" w:type="dxa"/>
            <w:tcBorders>
              <w:left w:val="single" w:color="auto" w:sz="4" w:space="0"/>
            </w:tcBorders>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□扣</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□轻微</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□较严重</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□严重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0" w:hRule="atLeast"/>
          <w:jc w:val="center"/>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申报</w:t>
            </w:r>
          </w:p>
          <w:p>
            <w:pPr>
              <w:jc w:val="center"/>
              <w:rPr>
                <w:rFonts w:ascii="仿宋_GB2312" w:hAnsi="宋体" w:eastAsia="仿宋_GB2312"/>
                <w:sz w:val="28"/>
                <w:szCs w:val="28"/>
              </w:rPr>
            </w:pPr>
            <w:r>
              <w:rPr>
                <w:rFonts w:hint="eastAsia" w:ascii="仿宋_GB2312" w:hAnsi="宋体" w:eastAsia="仿宋_GB2312"/>
                <w:sz w:val="28"/>
                <w:szCs w:val="28"/>
              </w:rPr>
              <w:t>认定</w:t>
            </w:r>
          </w:p>
          <w:p>
            <w:pPr>
              <w:jc w:val="center"/>
              <w:rPr>
                <w:rFonts w:ascii="仿宋_GB2312" w:hAnsi="宋体" w:eastAsia="仿宋_GB2312"/>
                <w:sz w:val="28"/>
                <w:szCs w:val="28"/>
              </w:rPr>
            </w:pPr>
            <w:r>
              <w:rPr>
                <w:rFonts w:hint="eastAsia" w:ascii="仿宋_GB2312" w:hAnsi="宋体" w:eastAsia="仿宋_GB2312"/>
                <w:sz w:val="28"/>
                <w:szCs w:val="28"/>
              </w:rPr>
              <w:t>事项</w:t>
            </w:r>
          </w:p>
        </w:tc>
        <w:tc>
          <w:tcPr>
            <w:tcW w:w="7138" w:type="dxa"/>
            <w:gridSpan w:val="3"/>
          </w:tcPr>
          <w:p>
            <w:pPr>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8" w:hRule="atLeast"/>
          <w:jc w:val="center"/>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申报</w:t>
            </w:r>
          </w:p>
          <w:p>
            <w:pPr>
              <w:jc w:val="center"/>
              <w:rPr>
                <w:rFonts w:ascii="仿宋_GB2312" w:hAnsi="宋体" w:eastAsia="仿宋_GB2312"/>
                <w:sz w:val="28"/>
                <w:szCs w:val="28"/>
              </w:rPr>
            </w:pPr>
            <w:r>
              <w:rPr>
                <w:rFonts w:hint="eastAsia" w:ascii="仿宋_GB2312" w:hAnsi="宋体" w:eastAsia="仿宋_GB2312"/>
                <w:sz w:val="28"/>
                <w:szCs w:val="28"/>
              </w:rPr>
              <w:t>认定</w:t>
            </w:r>
          </w:p>
          <w:p>
            <w:pPr>
              <w:jc w:val="center"/>
              <w:rPr>
                <w:rFonts w:ascii="仿宋_GB2312" w:hAnsi="宋体" w:eastAsia="仿宋_GB2312"/>
                <w:sz w:val="28"/>
                <w:szCs w:val="28"/>
              </w:rPr>
            </w:pPr>
            <w:r>
              <w:rPr>
                <w:rFonts w:hint="eastAsia" w:ascii="仿宋_GB2312" w:hAnsi="宋体" w:eastAsia="仿宋_GB2312"/>
                <w:sz w:val="28"/>
                <w:szCs w:val="28"/>
              </w:rPr>
              <w:t>依据</w:t>
            </w:r>
          </w:p>
        </w:tc>
        <w:tc>
          <w:tcPr>
            <w:tcW w:w="7138" w:type="dxa"/>
            <w:gridSpan w:val="3"/>
          </w:tcPr>
          <w:p>
            <w:pPr>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4" w:hRule="atLeast"/>
          <w:jc w:val="center"/>
        </w:trPr>
        <w:tc>
          <w:tcPr>
            <w:tcW w:w="8522" w:type="dxa"/>
            <w:gridSpan w:val="4"/>
          </w:tcPr>
          <w:p>
            <w:pPr>
              <w:rPr>
                <w:rFonts w:ascii="仿宋_GB2312" w:hAnsi="宋体" w:eastAsia="仿宋_GB2312"/>
                <w:sz w:val="28"/>
                <w:szCs w:val="28"/>
              </w:rPr>
            </w:pPr>
            <w:r>
              <w:rPr>
                <w:rFonts w:hint="eastAsia" w:ascii="仿宋_GB2312" w:hAnsi="宋体" w:eastAsia="仿宋_GB2312"/>
                <w:sz w:val="28"/>
                <w:szCs w:val="28"/>
              </w:rPr>
              <w:t>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8522" w:type="dxa"/>
            <w:gridSpan w:val="4"/>
          </w:tcPr>
          <w:p>
            <w:pPr>
              <w:rPr>
                <w:rFonts w:ascii="仿宋_GB2312" w:hAnsi="宋体" w:eastAsia="仿宋_GB2312"/>
                <w:sz w:val="28"/>
                <w:szCs w:val="28"/>
              </w:rPr>
            </w:pPr>
            <w:r>
              <w:rPr>
                <w:rFonts w:hint="eastAsia" w:ascii="仿宋_GB2312" w:hAnsi="宋体" w:eastAsia="仿宋_GB2312"/>
                <w:sz w:val="28"/>
                <w:szCs w:val="28"/>
              </w:rPr>
              <w:t>备注</w:t>
            </w:r>
          </w:p>
        </w:tc>
      </w:tr>
    </w:tbl>
    <w:p>
      <w:pPr>
        <w:rPr>
          <w:rFonts w:ascii="仿宋_GB2312" w:hAnsi="宋体" w:eastAsia="仿宋_GB2312"/>
          <w:sz w:val="24"/>
        </w:rPr>
      </w:pPr>
      <w:r>
        <w:rPr>
          <w:rFonts w:hint="eastAsia" w:ascii="仿宋_GB2312" w:hAnsi="宋体" w:eastAsia="仿宋_GB2312"/>
          <w:sz w:val="24"/>
        </w:rPr>
        <w:t>说明：此表由项目法人（建设单位）填写，报水行政主管部门。</w:t>
      </w:r>
    </w:p>
    <w:p>
      <w:pPr>
        <w:pStyle w:val="20"/>
        <w:widowControl/>
        <w:spacing w:line="480" w:lineRule="auto"/>
        <w:ind w:right="42" w:firstLine="0" w:firstLineChars="0"/>
        <w:rPr>
          <w:rFonts w:ascii="仿宋_GB2312" w:hAnsi="宋体" w:eastAsia="仿宋_GB2312"/>
          <w:kern w:val="0"/>
          <w:sz w:val="28"/>
          <w:szCs w:val="28"/>
        </w:rPr>
        <w:sectPr>
          <w:pgSz w:w="11906" w:h="16838"/>
          <w:pgMar w:top="2098" w:right="1474" w:bottom="1984" w:left="1587" w:header="0" w:footer="1474" w:gutter="0"/>
          <w:cols w:space="425" w:num="1"/>
          <w:docGrid w:type="lines" w:linePitch="312" w:charSpace="0"/>
        </w:sectPr>
      </w:pPr>
    </w:p>
    <w:p>
      <w:pPr>
        <w:pStyle w:val="20"/>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附件3</w:t>
      </w:r>
    </w:p>
    <w:p>
      <w:pPr>
        <w:widowControl/>
        <w:spacing w:line="360" w:lineRule="auto"/>
        <w:ind w:right="42"/>
        <w:jc w:val="center"/>
        <w:rPr>
          <w:rFonts w:ascii="宋体" w:hAnsi="宋体"/>
          <w:kern w:val="0"/>
          <w:sz w:val="32"/>
          <w:szCs w:val="32"/>
        </w:rPr>
      </w:pPr>
      <w:r>
        <w:rPr>
          <w:rFonts w:hint="eastAsia" w:ascii="宋体" w:hAnsi="宋体"/>
          <w:b/>
          <w:bCs/>
          <w:spacing w:val="30"/>
          <w:kern w:val="0"/>
          <w:sz w:val="44"/>
          <w:szCs w:val="44"/>
        </w:rPr>
        <w:t>不良行为初步认定告知书</w:t>
      </w:r>
    </w:p>
    <w:p>
      <w:pPr>
        <w:widowControl/>
        <w:spacing w:line="480" w:lineRule="auto"/>
        <w:ind w:right="42"/>
        <w:jc w:val="center"/>
        <w:rPr>
          <w:rFonts w:ascii="仿宋_GB2312" w:eastAsia="仿宋_GB2312"/>
          <w:kern w:val="0"/>
          <w:sz w:val="32"/>
          <w:szCs w:val="32"/>
        </w:rPr>
      </w:pPr>
      <w:r>
        <w:rPr>
          <w:rFonts w:hint="eastAsia" w:ascii="仿宋_GB2312" w:eastAsia="仿宋_GB2312"/>
          <w:kern w:val="0"/>
          <w:sz w:val="24"/>
          <w:u w:val="single"/>
        </w:rPr>
        <w:t xml:space="preserve">     </w:t>
      </w:r>
      <w:r>
        <w:rPr>
          <w:rFonts w:hint="eastAsia" w:ascii="仿宋_GB2312" w:eastAsia="仿宋_GB2312"/>
          <w:kern w:val="0"/>
          <w:sz w:val="24"/>
        </w:rPr>
        <w:t>初认</w:t>
      </w:r>
      <w:r>
        <w:rPr>
          <w:rFonts w:hint="eastAsia" w:ascii="仿宋_GB2312" w:hAnsi="宋体" w:eastAsia="仿宋_GB2312"/>
          <w:kern w:val="0"/>
          <w:sz w:val="24"/>
        </w:rPr>
        <w:t>〔    〕不良  号</w:t>
      </w:r>
    </w:p>
    <w:p>
      <w:pPr>
        <w:widowControl/>
        <w:spacing w:line="360" w:lineRule="auto"/>
        <w:ind w:right="42"/>
        <w:rPr>
          <w:rFonts w:ascii="仿宋_GB2312" w:eastAsia="仿宋_GB2312"/>
          <w:kern w:val="0"/>
          <w:sz w:val="28"/>
          <w:szCs w:val="28"/>
        </w:rPr>
      </w:pP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w:t>
      </w:r>
    </w:p>
    <w:p>
      <w:pPr>
        <w:pStyle w:val="20"/>
        <w:widowControl/>
        <w:spacing w:line="560" w:lineRule="exact"/>
        <w:ind w:right="40" w:firstLine="700" w:firstLineChars="250"/>
        <w:rPr>
          <w:rFonts w:ascii="仿宋_GB2312" w:eastAsia="仿宋_GB2312"/>
          <w:kern w:val="0"/>
          <w:sz w:val="28"/>
          <w:szCs w:val="28"/>
          <w:u w:val="single"/>
        </w:rPr>
      </w:pPr>
      <w:r>
        <w:rPr>
          <w:rFonts w:hint="eastAsia" w:ascii="仿宋_GB2312" w:eastAsia="仿宋_GB2312"/>
          <w:kern w:val="0"/>
          <w:sz w:val="28"/>
          <w:szCs w:val="28"/>
        </w:rPr>
        <w:t>经查，你单位在</w:t>
      </w:r>
      <w:r>
        <w:rPr>
          <w:rFonts w:hint="eastAsia" w:ascii="仿宋_GB2312" w:eastAsia="仿宋_GB2312"/>
          <w:kern w:val="0"/>
          <w:sz w:val="28"/>
          <w:szCs w:val="28"/>
          <w:u w:val="single"/>
        </w:rPr>
        <w:t xml:space="preserve">               </w:t>
      </w:r>
      <w:r>
        <w:rPr>
          <w:rFonts w:hint="eastAsia" w:ascii="仿宋_GB2312" w:eastAsia="仿宋_GB2312"/>
          <w:kern w:val="0"/>
          <w:sz w:val="28"/>
          <w:szCs w:val="28"/>
        </w:rPr>
        <w:t>工程建设期间（  年  月  日）存在</w:t>
      </w:r>
      <w:r>
        <w:rPr>
          <w:rFonts w:hint="eastAsia" w:ascii="仿宋_GB2312" w:eastAsia="仿宋_GB2312"/>
          <w:kern w:val="0"/>
          <w:sz w:val="28"/>
          <w:szCs w:val="28"/>
          <w:u w:val="single"/>
        </w:rPr>
        <w:t xml:space="preserve">                                                                                                    </w:t>
      </w:r>
    </w:p>
    <w:p>
      <w:pPr>
        <w:pStyle w:val="20"/>
        <w:widowControl/>
        <w:spacing w:line="560" w:lineRule="exact"/>
        <w:ind w:right="40" w:firstLine="560"/>
        <w:jc w:val="left"/>
        <w:rPr>
          <w:rFonts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的行为，</w:t>
      </w:r>
      <w:r>
        <w:rPr>
          <w:rFonts w:hint="eastAsia" w:ascii="仿宋_GB2312" w:eastAsia="仿宋_GB2312"/>
          <w:spacing w:val="20"/>
          <w:kern w:val="0"/>
          <w:sz w:val="28"/>
          <w:szCs w:val="28"/>
        </w:rPr>
        <w:t>根据《</w:t>
      </w:r>
      <w:r>
        <w:rPr>
          <w:rFonts w:hint="eastAsia" w:ascii="仿宋_GB2312" w:hAnsi="宋体" w:eastAsia="仿宋_GB2312"/>
          <w:spacing w:val="20"/>
          <w:sz w:val="28"/>
          <w:szCs w:val="28"/>
        </w:rPr>
        <w:t>深圳市水务建设市场主体不良行为认定及应用管理办法</w:t>
      </w:r>
      <w:r>
        <w:rPr>
          <w:rFonts w:hint="eastAsia" w:ascii="仿宋_GB2312" w:eastAsia="仿宋_GB2312"/>
          <w:spacing w:val="20"/>
          <w:kern w:val="0"/>
          <w:sz w:val="28"/>
          <w:szCs w:val="28"/>
        </w:rPr>
        <w:t>》第</w:t>
      </w:r>
      <w:r>
        <w:rPr>
          <w:rFonts w:hint="eastAsia" w:ascii="仿宋_GB2312" w:eastAsia="仿宋_GB2312"/>
          <w:spacing w:val="20"/>
          <w:kern w:val="0"/>
          <w:sz w:val="28"/>
          <w:szCs w:val="28"/>
          <w:u w:val="single"/>
        </w:rPr>
        <w:t xml:space="preserve">   </w:t>
      </w:r>
      <w:r>
        <w:rPr>
          <w:rFonts w:hint="eastAsia" w:ascii="仿宋_GB2312" w:eastAsia="仿宋_GB2312"/>
          <w:spacing w:val="20"/>
          <w:kern w:val="0"/>
          <w:sz w:val="28"/>
          <w:szCs w:val="28"/>
        </w:rPr>
        <w:t>条和《</w:t>
      </w:r>
      <w:r>
        <w:rPr>
          <w:rFonts w:hint="eastAsia" w:ascii="仿宋_GB2312" w:hAnsi="宋体" w:eastAsia="仿宋_GB2312"/>
          <w:spacing w:val="20"/>
          <w:sz w:val="28"/>
          <w:szCs w:val="28"/>
        </w:rPr>
        <w:t>深圳市水务工程建设市场不良行为认定标准</w:t>
      </w:r>
      <w:r>
        <w:rPr>
          <w:rFonts w:hint="eastAsia" w:ascii="仿宋_GB2312" w:eastAsia="仿宋_GB2312"/>
          <w:spacing w:val="20"/>
          <w:kern w:val="0"/>
          <w:sz w:val="28"/>
          <w:szCs w:val="28"/>
        </w:rPr>
        <w:t>》</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项规定：</w:t>
      </w:r>
      <w:r>
        <w:rPr>
          <w:rFonts w:hint="eastAsia" w:ascii="仿宋_GB2312" w:eastAsia="仿宋_GB2312"/>
          <w:b/>
          <w:kern w:val="0"/>
          <w:sz w:val="28"/>
          <w:szCs w:val="28"/>
          <w:u w:val="single"/>
        </w:rPr>
        <w:t>上述行为被初步认定扣     分，并记</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w:t>
      </w:r>
    </w:p>
    <w:p>
      <w:pPr>
        <w:pStyle w:val="20"/>
        <w:spacing w:line="360" w:lineRule="auto"/>
        <w:ind w:firstLine="536"/>
        <w:rPr>
          <w:rFonts w:ascii="仿宋_GB2312" w:eastAsia="仿宋_GB2312"/>
          <w:kern w:val="0"/>
          <w:sz w:val="28"/>
          <w:szCs w:val="28"/>
        </w:rPr>
      </w:pPr>
      <w:r>
        <w:rPr>
          <w:rFonts w:hint="eastAsia" w:ascii="仿宋_GB2312" w:eastAsia="仿宋_GB2312"/>
          <w:spacing w:val="-6"/>
          <w:kern w:val="0"/>
          <w:sz w:val="28"/>
          <w:szCs w:val="28"/>
        </w:rPr>
        <w:t>根据相关规定，现将上述不良行为初步认定情况通知你单位。你单位如需申辩或陈述，请自收到本通知书之日起10个工作日内备齐相关申辩或陈述材料向我单位提出书面申辩或陈述，逾期我单位将作出不良行为认定</w:t>
      </w:r>
      <w:r>
        <w:rPr>
          <w:rFonts w:hint="eastAsia" w:ascii="仿宋_GB2312" w:eastAsia="仿宋_GB2312"/>
          <w:kern w:val="0"/>
          <w:sz w:val="28"/>
          <w:szCs w:val="28"/>
        </w:rPr>
        <w:t>。</w:t>
      </w:r>
    </w:p>
    <w:p>
      <w:pPr>
        <w:widowControl/>
        <w:spacing w:line="400" w:lineRule="exact"/>
        <w:ind w:left="3780" w:leftChars="1800" w:right="40" w:firstLine="9600"/>
        <w:rPr>
          <w:rFonts w:ascii="仿宋_GB2312" w:eastAsia="仿宋_GB2312"/>
          <w:spacing w:val="100"/>
          <w:kern w:val="0"/>
          <w:sz w:val="28"/>
          <w:szCs w:val="28"/>
        </w:rPr>
      </w:pPr>
      <w:r>
        <w:rPr>
          <w:rFonts w:hint="eastAsia" w:ascii="仿宋_GB2312" w:eastAsia="仿宋_GB2312"/>
          <w:spacing w:val="100"/>
          <w:kern w:val="0"/>
          <w:sz w:val="28"/>
          <w:szCs w:val="28"/>
        </w:rPr>
        <w:t>不</w:t>
      </w:r>
    </w:p>
    <w:p>
      <w:pPr>
        <w:widowControl/>
        <w:spacing w:line="400" w:lineRule="exact"/>
        <w:ind w:left="3780" w:leftChars="1800" w:right="40" w:firstLine="9600"/>
        <w:rPr>
          <w:rFonts w:ascii="仿宋_GB2312" w:eastAsia="仿宋_GB2312"/>
          <w:kern w:val="0"/>
          <w:sz w:val="28"/>
          <w:szCs w:val="28"/>
        </w:rPr>
      </w:pPr>
      <w:r>
        <w:rPr>
          <w:rFonts w:hint="eastAsia" w:ascii="仿宋_GB2312" w:eastAsia="仿宋_GB2312"/>
          <w:spacing w:val="100"/>
          <w:kern w:val="0"/>
          <w:sz w:val="28"/>
          <w:szCs w:val="28"/>
        </w:rPr>
        <w:t>不不良行为</w:t>
      </w:r>
    </w:p>
    <w:p>
      <w:pPr>
        <w:widowControl/>
        <w:spacing w:line="360" w:lineRule="auto"/>
        <w:ind w:left="3780" w:leftChars="1800" w:right="40"/>
        <w:rPr>
          <w:rFonts w:ascii="仿宋_GB2312" w:eastAsia="仿宋_GB2312"/>
          <w:kern w:val="0"/>
          <w:sz w:val="28"/>
          <w:szCs w:val="28"/>
        </w:rPr>
      </w:pPr>
      <w:r>
        <w:rPr>
          <w:rFonts w:hint="eastAsia" w:ascii="仿宋_GB2312" w:eastAsia="仿宋_GB2312"/>
          <w:kern w:val="0"/>
          <w:sz w:val="28"/>
          <w:szCs w:val="28"/>
        </w:rPr>
        <w:t>初步认定单位：（公章）</w:t>
      </w:r>
    </w:p>
    <w:p>
      <w:pPr>
        <w:widowControl/>
        <w:spacing w:line="360" w:lineRule="auto"/>
        <w:ind w:right="42" w:firstLine="994" w:firstLineChars="355"/>
        <w:rPr>
          <w:rFonts w:ascii="仿宋_GB2312" w:eastAsia="仿宋_GB2312"/>
          <w:kern w:val="0"/>
          <w:sz w:val="28"/>
          <w:szCs w:val="28"/>
        </w:rPr>
      </w:pPr>
      <w:r>
        <w:rPr>
          <w:rFonts w:hint="eastAsia" w:ascii="仿宋_GB2312" w:eastAsia="仿宋_GB2312"/>
          <w:kern w:val="0"/>
          <w:sz w:val="28"/>
          <w:szCs w:val="28"/>
        </w:rPr>
        <w:t xml:space="preserve">                             年   月   日</w:t>
      </w:r>
    </w:p>
    <w:p>
      <w:pPr>
        <w:ind w:firstLine="560" w:firstLineChars="200"/>
        <w:rPr>
          <w:rFonts w:ascii="仿宋_GB2312" w:eastAsia="仿宋_GB2312"/>
          <w:kern w:val="0"/>
          <w:sz w:val="28"/>
          <w:szCs w:val="28"/>
        </w:rPr>
      </w:pPr>
      <w:r>
        <w:rPr>
          <w:rFonts w:hint="eastAsia" w:ascii="仿宋_GB2312" w:eastAsia="仿宋_GB2312"/>
          <w:kern w:val="0"/>
          <w:sz w:val="28"/>
          <w:szCs w:val="28"/>
        </w:rPr>
        <w:t>说明：本通知书一式三份，市水务局、初步认定单位、被认定单位各执一份。</w:t>
      </w:r>
    </w:p>
    <w:p>
      <w:pPr>
        <w:spacing w:line="520" w:lineRule="exact"/>
        <w:ind w:firstLine="630" w:firstLineChars="300"/>
        <w:rPr>
          <w:rFonts w:ascii="仿宋_GB2312" w:eastAsia="仿宋_GB2312"/>
          <w:kern w:val="0"/>
          <w:sz w:val="28"/>
          <w:szCs w:val="28"/>
        </w:rPr>
      </w:pPr>
      <w:r>
        <w:rPr>
          <w:rFonts w:hint="eastAsia" w:ascii="仿宋_GB2312" w:eastAsia="仿宋_GB2312"/>
          <w:kern w:val="0"/>
          <w:szCs w:val="21"/>
        </w:rPr>
        <w:t>签收人（市场主体项目负责人）：                  签收时间：</w:t>
      </w:r>
    </w:p>
    <w:p>
      <w:pPr>
        <w:ind w:firstLine="560" w:firstLineChars="200"/>
        <w:rPr>
          <w:rFonts w:ascii="仿宋_GB2312" w:hAnsi="宋体" w:eastAsia="仿宋_GB2312"/>
          <w:kern w:val="0"/>
          <w:sz w:val="28"/>
          <w:szCs w:val="28"/>
        </w:rPr>
        <w:sectPr>
          <w:pgSz w:w="11906" w:h="16838"/>
          <w:pgMar w:top="2098" w:right="1474" w:bottom="1984" w:left="1587" w:header="0" w:footer="1474" w:gutter="0"/>
          <w:cols w:space="425" w:num="1"/>
          <w:docGrid w:type="lines" w:linePitch="312" w:charSpace="0"/>
        </w:sectPr>
      </w:pPr>
    </w:p>
    <w:p>
      <w:pPr>
        <w:pStyle w:val="20"/>
        <w:widowControl/>
        <w:spacing w:line="480" w:lineRule="auto"/>
        <w:ind w:right="42" w:firstLine="0" w:firstLineChars="0"/>
        <w:rPr>
          <w:rFonts w:ascii="黑体" w:hAnsi="黑体" w:eastAsia="黑体"/>
          <w:kern w:val="0"/>
          <w:sz w:val="32"/>
          <w:szCs w:val="28"/>
        </w:rPr>
      </w:pPr>
      <w:r>
        <w:rPr>
          <w:rFonts w:hint="eastAsia" w:ascii="黑体" w:hAnsi="黑体" w:eastAsia="黑体"/>
          <w:kern w:val="0"/>
          <w:sz w:val="32"/>
          <w:szCs w:val="28"/>
        </w:rPr>
        <w:t>附件4</w:t>
      </w:r>
    </w:p>
    <w:p>
      <w:pPr>
        <w:widowControl/>
        <w:spacing w:line="360" w:lineRule="auto"/>
        <w:ind w:right="42"/>
        <w:jc w:val="center"/>
        <w:rPr>
          <w:rFonts w:ascii="宋体" w:hAnsi="宋体"/>
          <w:kern w:val="0"/>
          <w:sz w:val="32"/>
          <w:szCs w:val="32"/>
        </w:rPr>
      </w:pPr>
      <w:r>
        <w:rPr>
          <w:rFonts w:hint="eastAsia" w:ascii="宋体" w:hAnsi="宋体"/>
          <w:b/>
          <w:bCs/>
          <w:spacing w:val="30"/>
          <w:kern w:val="0"/>
          <w:sz w:val="44"/>
          <w:szCs w:val="44"/>
        </w:rPr>
        <w:t>不良行为认定通知书</w:t>
      </w:r>
    </w:p>
    <w:p>
      <w:pPr>
        <w:widowControl/>
        <w:spacing w:line="480" w:lineRule="auto"/>
        <w:ind w:right="42"/>
        <w:jc w:val="center"/>
        <w:rPr>
          <w:rFonts w:ascii="仿宋_GB2312" w:eastAsia="仿宋_GB2312"/>
          <w:kern w:val="0"/>
          <w:sz w:val="32"/>
          <w:szCs w:val="32"/>
        </w:rPr>
      </w:pPr>
      <w:r>
        <w:rPr>
          <w:rFonts w:hint="eastAsia" w:ascii="仿宋_GB2312" w:eastAsia="仿宋_GB2312"/>
          <w:kern w:val="0"/>
          <w:sz w:val="24"/>
          <w:u w:val="single"/>
        </w:rPr>
        <w:t xml:space="preserve">     </w:t>
      </w:r>
      <w:r>
        <w:rPr>
          <w:rFonts w:hint="eastAsia" w:ascii="仿宋_GB2312" w:eastAsia="仿宋_GB2312"/>
          <w:kern w:val="0"/>
          <w:sz w:val="24"/>
        </w:rPr>
        <w:t> 认</w:t>
      </w:r>
      <w:r>
        <w:rPr>
          <w:rFonts w:hint="eastAsia" w:ascii="仿宋_GB2312" w:hAnsi="宋体" w:eastAsia="仿宋_GB2312"/>
          <w:kern w:val="0"/>
          <w:sz w:val="24"/>
        </w:rPr>
        <w:t>〔    〕不良  号</w:t>
      </w:r>
    </w:p>
    <w:p>
      <w:pPr>
        <w:widowControl/>
        <w:spacing w:line="500" w:lineRule="exact"/>
        <w:ind w:right="40"/>
        <w:rPr>
          <w:rFonts w:ascii="仿宋_GB2312" w:eastAsia="仿宋_GB2312"/>
          <w:kern w:val="0"/>
          <w:sz w:val="28"/>
          <w:szCs w:val="28"/>
        </w:rPr>
      </w:pP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w:t>
      </w:r>
    </w:p>
    <w:p>
      <w:pPr>
        <w:pStyle w:val="20"/>
        <w:widowControl/>
        <w:spacing w:line="500" w:lineRule="exact"/>
        <w:ind w:right="40" w:firstLine="700" w:firstLineChars="250"/>
        <w:rPr>
          <w:rFonts w:ascii="仿宋_GB2312" w:eastAsia="仿宋_GB2312"/>
          <w:kern w:val="0"/>
          <w:sz w:val="28"/>
          <w:szCs w:val="28"/>
          <w:u w:val="single"/>
        </w:rPr>
      </w:pPr>
      <w:r>
        <w:rPr>
          <w:rFonts w:hint="eastAsia" w:ascii="仿宋_GB2312" w:eastAsia="仿宋_GB2312"/>
          <w:kern w:val="0"/>
          <w:sz w:val="28"/>
          <w:szCs w:val="28"/>
        </w:rPr>
        <w:t>经核实，你单位在</w:t>
      </w:r>
      <w:r>
        <w:rPr>
          <w:rFonts w:hint="eastAsia" w:ascii="仿宋_GB2312" w:eastAsia="仿宋_GB2312"/>
          <w:kern w:val="0"/>
          <w:sz w:val="28"/>
          <w:szCs w:val="28"/>
          <w:u w:val="single"/>
        </w:rPr>
        <w:t xml:space="preserve">             </w:t>
      </w:r>
      <w:r>
        <w:rPr>
          <w:rFonts w:hint="eastAsia" w:ascii="仿宋_GB2312" w:eastAsia="仿宋_GB2312"/>
          <w:kern w:val="0"/>
          <w:sz w:val="28"/>
          <w:szCs w:val="28"/>
        </w:rPr>
        <w:t>工程建设期间（  年  月  日）存在</w:t>
      </w:r>
      <w:r>
        <w:rPr>
          <w:rFonts w:hint="eastAsia" w:ascii="仿宋_GB2312" w:eastAsia="仿宋_GB2312"/>
          <w:kern w:val="0"/>
          <w:sz w:val="28"/>
          <w:szCs w:val="28"/>
          <w:u w:val="single"/>
        </w:rPr>
        <w:t xml:space="preserve">                                                                                                    </w:t>
      </w:r>
    </w:p>
    <w:p>
      <w:pPr>
        <w:pStyle w:val="20"/>
        <w:widowControl/>
        <w:spacing w:line="500" w:lineRule="exact"/>
        <w:ind w:right="40" w:firstLine="560"/>
        <w:jc w:val="left"/>
        <w:rPr>
          <w:rFonts w:ascii="仿宋_GB2312" w:eastAsia="仿宋_GB2312"/>
          <w:b/>
          <w:kern w:val="0"/>
          <w:sz w:val="28"/>
          <w:szCs w:val="28"/>
          <w:u w:val="single"/>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的行为。我单位已于</w:t>
      </w: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条和《</w:t>
      </w:r>
      <w:r>
        <w:rPr>
          <w:rFonts w:hint="eastAsia" w:ascii="仿宋_GB2312" w:hAnsi="宋体" w:eastAsia="仿宋_GB2312"/>
          <w:sz w:val="28"/>
          <w:szCs w:val="28"/>
        </w:rPr>
        <w:t>深</w:t>
      </w:r>
      <w:r>
        <w:rPr>
          <w:rFonts w:hint="eastAsia" w:ascii="仿宋_GB2312" w:hAnsi="宋体" w:eastAsia="仿宋_GB2312"/>
          <w:spacing w:val="20"/>
          <w:sz w:val="28"/>
          <w:szCs w:val="28"/>
        </w:rPr>
        <w:t>圳市水务工程建设市场不良行为认定标准</w:t>
      </w:r>
      <w:r>
        <w:rPr>
          <w:rFonts w:hint="eastAsia" w:ascii="仿宋_GB2312" w:eastAsia="仿宋_GB2312"/>
          <w:spacing w:val="20"/>
          <w:kern w:val="0"/>
          <w:sz w:val="28"/>
          <w:szCs w:val="28"/>
        </w:rPr>
        <w:t>》</w:t>
      </w:r>
      <w:r>
        <w:rPr>
          <w:rFonts w:hint="eastAsia" w:ascii="仿宋_GB2312" w:eastAsia="仿宋_GB2312"/>
          <w:kern w:val="0"/>
          <w:sz w:val="28"/>
          <w:szCs w:val="28"/>
        </w:rPr>
        <w:t>第</w:t>
      </w:r>
      <w:r>
        <w:rPr>
          <w:rFonts w:hint="eastAsia" w:ascii="仿宋_GB2312" w:eastAsia="仿宋_GB2312"/>
          <w:kern w:val="0"/>
          <w:sz w:val="28"/>
          <w:szCs w:val="28"/>
          <w:u w:val="single"/>
        </w:rPr>
        <w:t xml:space="preserve">     </w:t>
      </w:r>
      <w:r>
        <w:rPr>
          <w:rFonts w:hint="eastAsia" w:ascii="仿宋_GB2312" w:eastAsia="仿宋_GB2312"/>
          <w:kern w:val="0"/>
          <w:sz w:val="28"/>
          <w:szCs w:val="28"/>
        </w:rPr>
        <w:t>项规定，就该行为向你单位作出了不良行为初步认定并书面通知你单位进行申辩或陈述。上述行为现被认定扣</w:t>
      </w:r>
      <w:r>
        <w:rPr>
          <w:rFonts w:hint="eastAsia" w:ascii="仿宋_GB2312" w:eastAsia="仿宋_GB2312"/>
          <w:b/>
          <w:kern w:val="0"/>
          <w:sz w:val="28"/>
          <w:szCs w:val="28"/>
          <w:u w:val="single"/>
        </w:rPr>
        <w:t xml:space="preserve">    分，并记</w:t>
      </w:r>
      <w:r>
        <w:rPr>
          <w:rFonts w:hint="eastAsia" w:ascii="仿宋_GB2312" w:hAnsi="宋体" w:eastAsia="仿宋_GB2312"/>
          <w:b/>
          <w:sz w:val="28"/>
          <w:szCs w:val="28"/>
          <w:u w:val="single"/>
        </w:rPr>
        <w:t>□轻微</w:t>
      </w:r>
      <w:r>
        <w:rPr>
          <w:rFonts w:ascii="仿宋_GB2312" w:hAnsi="宋体" w:eastAsia="仿宋_GB2312"/>
          <w:b/>
          <w:sz w:val="28"/>
          <w:szCs w:val="28"/>
          <w:u w:val="single"/>
        </w:rPr>
        <w:t>/□</w:t>
      </w:r>
      <w:r>
        <w:rPr>
          <w:rFonts w:hint="eastAsia" w:ascii="仿宋_GB2312" w:hAnsi="宋体" w:eastAsia="仿宋_GB2312"/>
          <w:b/>
          <w:sz w:val="28"/>
          <w:szCs w:val="28"/>
          <w:u w:val="single"/>
        </w:rPr>
        <w:t>较</w:t>
      </w:r>
      <w:r>
        <w:rPr>
          <w:rFonts w:ascii="仿宋_GB2312" w:hAnsi="宋体" w:eastAsia="仿宋_GB2312"/>
          <w:b/>
          <w:sz w:val="28"/>
          <w:szCs w:val="28"/>
          <w:u w:val="single"/>
        </w:rPr>
        <w:t>严重/□严重</w:t>
      </w:r>
      <w:r>
        <w:rPr>
          <w:rFonts w:hint="eastAsia" w:ascii="仿宋_GB2312" w:eastAsia="仿宋_GB2312"/>
          <w:b/>
          <w:kern w:val="0"/>
          <w:sz w:val="28"/>
          <w:szCs w:val="28"/>
          <w:u w:val="single"/>
        </w:rPr>
        <w:t>不良行为</w:t>
      </w:r>
      <w:r>
        <w:rPr>
          <w:rFonts w:hint="eastAsia" w:ascii="仿宋_GB2312" w:eastAsia="仿宋_GB2312"/>
          <w:kern w:val="0"/>
          <w:sz w:val="28"/>
          <w:szCs w:val="28"/>
        </w:rPr>
        <w:t>一次。</w:t>
      </w:r>
    </w:p>
    <w:p>
      <w:pPr>
        <w:pStyle w:val="20"/>
        <w:widowControl/>
        <w:spacing w:line="520" w:lineRule="exact"/>
        <w:ind w:right="42" w:firstLine="560"/>
        <w:jc w:val="left"/>
        <w:rPr>
          <w:rFonts w:ascii="仿宋_GB2312" w:eastAsia="仿宋_GB2312"/>
          <w:kern w:val="0"/>
          <w:sz w:val="28"/>
          <w:szCs w:val="28"/>
        </w:rPr>
      </w:pPr>
      <w:r>
        <w:rPr>
          <w:rFonts w:hint="eastAsia" w:ascii="仿宋_GB2312" w:hAnsi="宋体" w:eastAsia="仿宋_GB2312"/>
          <w:sz w:val="28"/>
          <w:szCs w:val="28"/>
        </w:rPr>
        <w:t>□</w:t>
      </w:r>
      <w:r>
        <w:rPr>
          <w:rFonts w:hint="eastAsia" w:ascii="仿宋_GB2312" w:eastAsia="仿宋_GB2312"/>
          <w:kern w:val="0"/>
          <w:sz w:val="28"/>
          <w:szCs w:val="28"/>
        </w:rPr>
        <w:t>根据《</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w:t>
      </w:r>
      <w:r>
        <w:rPr>
          <w:rFonts w:hint="eastAsia" w:ascii="仿宋_GB2312" w:eastAsia="仿宋_GB2312"/>
          <w:spacing w:val="-4"/>
          <w:kern w:val="0"/>
          <w:sz w:val="28"/>
          <w:szCs w:val="28"/>
        </w:rPr>
        <w:t xml:space="preserve">第 </w:t>
      </w:r>
      <w:r>
        <w:rPr>
          <w:rFonts w:hint="eastAsia" w:ascii="仿宋_GB2312" w:eastAsia="仿宋_GB2312"/>
          <w:spacing w:val="-4"/>
          <w:kern w:val="0"/>
          <w:sz w:val="28"/>
          <w:szCs w:val="28"/>
          <w:u w:val="single"/>
        </w:rPr>
        <w:t xml:space="preserve">二十二 </w:t>
      </w:r>
      <w:r>
        <w:rPr>
          <w:rFonts w:hint="eastAsia" w:ascii="仿宋_GB2312" w:eastAsia="仿宋_GB2312"/>
          <w:spacing w:val="-4"/>
          <w:kern w:val="0"/>
          <w:sz w:val="28"/>
          <w:szCs w:val="28"/>
        </w:rPr>
        <w:t>条及附件6第</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款规定，禁止你单位</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内（即：</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年</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月</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日至</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年</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月</w:t>
      </w:r>
      <w:r>
        <w:rPr>
          <w:rFonts w:hint="eastAsia" w:ascii="仿宋_GB2312" w:eastAsia="仿宋_GB2312"/>
          <w:spacing w:val="-4"/>
          <w:kern w:val="0"/>
          <w:sz w:val="28"/>
          <w:szCs w:val="28"/>
          <w:u w:val="single"/>
        </w:rPr>
        <w:t xml:space="preserve">  </w:t>
      </w:r>
      <w:r>
        <w:rPr>
          <w:rFonts w:hint="eastAsia" w:ascii="仿宋_GB2312" w:eastAsia="仿宋_GB2312"/>
          <w:spacing w:val="-4"/>
          <w:kern w:val="0"/>
          <w:sz w:val="28"/>
          <w:szCs w:val="28"/>
        </w:rPr>
        <w:t>日）参加深圳市水务工程投标（含自行采购）活动</w:t>
      </w:r>
      <w:r>
        <w:rPr>
          <w:rFonts w:hint="eastAsia" w:ascii="仿宋_GB2312" w:eastAsia="仿宋_GB2312"/>
          <w:kern w:val="0"/>
          <w:sz w:val="28"/>
          <w:szCs w:val="28"/>
        </w:rPr>
        <w:t>。</w:t>
      </w:r>
    </w:p>
    <w:p>
      <w:pPr>
        <w:pStyle w:val="20"/>
        <w:spacing w:line="520" w:lineRule="exact"/>
        <w:ind w:firstLine="544"/>
        <w:rPr>
          <w:rFonts w:ascii="仿宋_GB2312" w:eastAsia="仿宋_GB2312"/>
          <w:spacing w:val="-4"/>
          <w:kern w:val="0"/>
          <w:sz w:val="28"/>
          <w:szCs w:val="28"/>
        </w:rPr>
      </w:pPr>
      <w:r>
        <w:rPr>
          <w:rFonts w:hint="eastAsia" w:ascii="仿宋_GB2312" w:eastAsia="仿宋_GB2312"/>
          <w:spacing w:val="-4"/>
          <w:kern w:val="0"/>
          <w:sz w:val="28"/>
          <w:szCs w:val="28"/>
        </w:rPr>
        <w:t>上述信息将按照</w:t>
      </w:r>
      <w:r>
        <w:rPr>
          <w:rFonts w:hint="eastAsia" w:ascii="仿宋_GB2312" w:eastAsia="仿宋_GB2312"/>
          <w:kern w:val="0"/>
          <w:sz w:val="28"/>
          <w:szCs w:val="28"/>
        </w:rPr>
        <w:t>《</w:t>
      </w:r>
      <w:r>
        <w:rPr>
          <w:rFonts w:hint="eastAsia" w:ascii="仿宋_GB2312" w:hAnsi="宋体" w:eastAsia="仿宋_GB2312"/>
          <w:sz w:val="28"/>
          <w:szCs w:val="28"/>
        </w:rPr>
        <w:t>深圳市水务建设市场主体不良行为认定及应用管理办法</w:t>
      </w:r>
      <w:r>
        <w:rPr>
          <w:rFonts w:hint="eastAsia" w:ascii="仿宋_GB2312" w:eastAsia="仿宋_GB2312"/>
          <w:kern w:val="0"/>
          <w:sz w:val="28"/>
          <w:szCs w:val="28"/>
        </w:rPr>
        <w:t>》规定</w:t>
      </w:r>
      <w:r>
        <w:rPr>
          <w:rFonts w:hint="eastAsia" w:ascii="仿宋_GB2312" w:eastAsia="仿宋_GB2312"/>
          <w:spacing w:val="-4"/>
          <w:kern w:val="0"/>
          <w:sz w:val="28"/>
          <w:szCs w:val="28"/>
        </w:rPr>
        <w:t>，录入你单位信用档案并按规定</w:t>
      </w:r>
      <w:r>
        <w:rPr>
          <w:rFonts w:hint="eastAsia" w:ascii="仿宋_GB2312" w:hAnsi="宋体" w:eastAsia="仿宋_GB2312"/>
          <w:sz w:val="28"/>
          <w:szCs w:val="28"/>
        </w:rPr>
        <w:t>报送上级水行政主管部门及住房建设等相关部门</w:t>
      </w:r>
      <w:r>
        <w:rPr>
          <w:rFonts w:hint="eastAsia" w:ascii="仿宋_GB2312" w:eastAsia="仿宋_GB2312"/>
          <w:spacing w:val="-4"/>
          <w:kern w:val="0"/>
          <w:sz w:val="28"/>
          <w:szCs w:val="28"/>
        </w:rPr>
        <w:t>。 </w:t>
      </w:r>
    </w:p>
    <w:p>
      <w:pPr>
        <w:widowControl/>
        <w:spacing w:line="520" w:lineRule="exact"/>
        <w:ind w:left="3780" w:leftChars="1800" w:right="40" w:firstLine="1820" w:firstLineChars="650"/>
        <w:rPr>
          <w:rFonts w:ascii="仿宋_GB2312" w:eastAsia="仿宋_GB2312"/>
          <w:kern w:val="0"/>
          <w:sz w:val="28"/>
          <w:szCs w:val="28"/>
        </w:rPr>
      </w:pPr>
      <w:r>
        <w:rPr>
          <w:rFonts w:hint="eastAsia" w:ascii="仿宋_GB2312" w:eastAsia="仿宋_GB2312"/>
          <w:kern w:val="0"/>
          <w:sz w:val="28"/>
          <w:szCs w:val="28"/>
        </w:rPr>
        <w:t>认定单位</w:t>
      </w:r>
    </w:p>
    <w:p>
      <w:pPr>
        <w:widowControl/>
        <w:spacing w:line="520" w:lineRule="exact"/>
        <w:ind w:left="3780" w:leftChars="1800" w:right="40" w:firstLine="1820" w:firstLineChars="650"/>
        <w:rPr>
          <w:rFonts w:ascii="仿宋_GB2312" w:eastAsia="仿宋_GB2312"/>
          <w:kern w:val="0"/>
          <w:sz w:val="28"/>
          <w:szCs w:val="28"/>
        </w:rPr>
      </w:pPr>
      <w:r>
        <w:rPr>
          <w:rFonts w:hint="eastAsia" w:ascii="仿宋_GB2312" w:eastAsia="仿宋_GB2312"/>
          <w:kern w:val="0"/>
          <w:sz w:val="28"/>
          <w:szCs w:val="28"/>
        </w:rPr>
        <w:t>（公章）</w:t>
      </w:r>
    </w:p>
    <w:p>
      <w:pPr>
        <w:widowControl/>
        <w:spacing w:line="520" w:lineRule="exact"/>
        <w:ind w:right="42" w:firstLine="994" w:firstLineChars="355"/>
        <w:rPr>
          <w:rFonts w:ascii="仿宋_GB2312" w:eastAsia="仿宋_GB2312"/>
          <w:kern w:val="0"/>
          <w:sz w:val="28"/>
          <w:szCs w:val="28"/>
        </w:rPr>
      </w:pPr>
      <w:r>
        <w:rPr>
          <w:rFonts w:hint="eastAsia" w:ascii="仿宋_GB2312" w:eastAsia="仿宋_GB2312"/>
          <w:kern w:val="0"/>
          <w:sz w:val="28"/>
          <w:szCs w:val="28"/>
        </w:rPr>
        <w:t xml:space="preserve">                               年   月   日</w:t>
      </w:r>
    </w:p>
    <w:p>
      <w:pPr>
        <w:spacing w:line="520" w:lineRule="exact"/>
        <w:ind w:firstLine="536" w:firstLineChars="200"/>
        <w:rPr>
          <w:rFonts w:ascii="仿宋_GB2312" w:eastAsia="仿宋_GB2312"/>
          <w:kern w:val="0"/>
          <w:sz w:val="28"/>
          <w:szCs w:val="28"/>
        </w:rPr>
      </w:pPr>
      <w:r>
        <w:rPr>
          <w:rFonts w:hint="eastAsia" w:ascii="仿宋_GB2312" w:eastAsia="仿宋_GB2312"/>
          <w:spacing w:val="-6"/>
          <w:kern w:val="0"/>
          <w:sz w:val="28"/>
          <w:szCs w:val="28"/>
        </w:rPr>
        <w:t>说明：本通知书一式三份，市水务局、认定单位、被认定单位各执一份</w:t>
      </w:r>
      <w:r>
        <w:rPr>
          <w:rFonts w:hint="eastAsia" w:ascii="仿宋_GB2312" w:eastAsia="仿宋_GB2312"/>
          <w:kern w:val="0"/>
          <w:sz w:val="28"/>
          <w:szCs w:val="28"/>
        </w:rPr>
        <w:t>。</w:t>
      </w:r>
    </w:p>
    <w:p>
      <w:pPr>
        <w:spacing w:line="520" w:lineRule="exact"/>
        <w:ind w:firstLine="560" w:firstLineChars="200"/>
        <w:rPr>
          <w:rFonts w:ascii="仿宋_GB2312" w:eastAsia="仿宋_GB2312"/>
          <w:kern w:val="0"/>
          <w:sz w:val="28"/>
          <w:szCs w:val="28"/>
        </w:rPr>
      </w:pPr>
    </w:p>
    <w:p>
      <w:pPr>
        <w:spacing w:line="520" w:lineRule="exact"/>
        <w:ind w:firstLine="630" w:firstLineChars="300"/>
        <w:rPr>
          <w:rFonts w:ascii="仿宋_GB2312" w:eastAsia="仿宋_GB2312"/>
          <w:kern w:val="0"/>
          <w:szCs w:val="21"/>
        </w:rPr>
        <w:sectPr>
          <w:pgSz w:w="11906" w:h="16838"/>
          <w:pgMar w:top="2098" w:right="1474" w:bottom="1984" w:left="1587" w:header="0" w:footer="1474" w:gutter="0"/>
          <w:cols w:space="425" w:num="1"/>
          <w:docGrid w:type="lines" w:linePitch="312" w:charSpace="0"/>
        </w:sectPr>
      </w:pPr>
      <w:r>
        <w:rPr>
          <w:rFonts w:hint="eastAsia" w:ascii="仿宋_GB2312" w:eastAsia="仿宋_GB2312"/>
          <w:kern w:val="0"/>
          <w:szCs w:val="21"/>
        </w:rPr>
        <w:t>签收人（市场主体项目负责人）：                       签收时间：</w:t>
      </w:r>
    </w:p>
    <w:p>
      <w:pPr>
        <w:rPr>
          <w:rFonts w:ascii="黑体" w:hAnsi="黑体" w:eastAsia="黑体"/>
          <w:sz w:val="32"/>
          <w:szCs w:val="28"/>
        </w:rPr>
      </w:pPr>
      <w:r>
        <w:rPr>
          <w:rFonts w:hint="eastAsia" w:ascii="黑体" w:hAnsi="黑体" w:eastAsia="黑体"/>
          <w:sz w:val="32"/>
          <w:szCs w:val="28"/>
        </w:rPr>
        <w:t>附件5</w:t>
      </w:r>
    </w:p>
    <w:p>
      <w:pPr>
        <w:jc w:val="center"/>
        <w:rPr>
          <w:rFonts w:ascii="宋体" w:hAnsi="宋体"/>
          <w:b/>
          <w:sz w:val="36"/>
          <w:szCs w:val="36"/>
        </w:rPr>
      </w:pPr>
      <w:r>
        <w:rPr>
          <w:rFonts w:hint="eastAsia" w:ascii="宋体" w:hAnsi="宋体"/>
          <w:b/>
          <w:sz w:val="36"/>
          <w:szCs w:val="36"/>
        </w:rPr>
        <w:t>深圳市水务建设市场主体不良行为认定管理流程图</w:t>
      </w:r>
    </w:p>
    <w:p>
      <w:pPr>
        <w:jc w:val="center"/>
        <w:rPr>
          <w:rFonts w:ascii="宋体" w:hAnsi="宋体"/>
          <w:b/>
          <w:sz w:val="36"/>
          <w:szCs w:val="36"/>
        </w:rPr>
      </w:pPr>
    </w:p>
    <w:p>
      <w:pPr>
        <w:jc w:val="center"/>
        <w:rPr>
          <w:rFonts w:ascii="宋体" w:hAnsi="宋体"/>
          <w:b/>
          <w:sz w:val="36"/>
          <w:szCs w:val="36"/>
        </w:rPr>
      </w:pPr>
      <w:r>
        <w:rPr>
          <w:rFonts w:ascii="宋体" w:hAnsi="宋体"/>
          <w:b/>
          <w:sz w:val="36"/>
          <w:szCs w:val="36"/>
        </w:rPr>
        <w:pict>
          <v:group id="Group 91" o:spid="_x0000_s1027" o:spt="203" style="position:absolute;left:0pt;margin-left:-24pt;margin-top:5pt;height:280.95pt;width:746.55pt;z-index:251659264;mso-width-relative:page;mso-height-relative:page;" coordorigin="789,2709" coordsize="14931,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wEUgkAAMxlAAAOAAAAZHJzL2Uyb0RvYy54bWzsXW1zm0YQ/t6Z/geG74o4ON40kTOJXzKd&#10;SdvMJM13LCGJKQIVsCW30//e3bvjQAi/W2epvnxwJIPwceyz++w+e6f3HzbL1LiOizLJs7FJ3lmm&#10;EWeTfJpk87H5x/eLQWAaZRVl0yjNs3hs3sSl+eHk55/er1ej2M4XeTqNCwMukpWj9WpsLqpqNRoO&#10;y8kiXkblu3wVZ3BwlhfLqIK3xXw4LaI1XH2ZDm3L8obrvJiuinwSlyX89owfNE/Y9WezeFL9PpuV&#10;cWWkYxPGVrGfBft5iT+HJ++j0byIVotkIoYRPWEUyyjJ4I/KS51FVWRcFcnOpZbJpMjLfFa9m+TL&#10;YT6bJZOY3QPcDbE6d/O5yK9W7F7mo/V8JacJprYzT0++7OS366+FkUzh2ZlGFi3hEbG/aoQE52a9&#10;mo/glM/F6tvqa8FvEF5+ySd/lnB42D2O7+f8ZONy/Ws+hetFV1XO5mYzK5Z4CbhrY8MewY18BPGm&#10;Mibwy5AGhASuaUzgmON6geW5/CFNFvAk8XN+EJoGHLV9K6wPnYuPExo6cCP4Ydcj7PAwGvE/zAYr&#10;Bod3BgZXNnNaPm9Ovy2iVcweVYkTJubUruf0I8wBO8UIbT6v7LTTjE/qZJOJSTWy/HQRZfOYnf39&#10;ZgUTyJ4EjL71EXxTwhO5d5IJ9QKfTZfjuD6frnquAQ84UcTiY5ITFY1WRVl9jvOlgS/GZlkVUTJf&#10;VKd5lgGi8oKw5xldfykrtILmA/h4s/wiSVMGrDQz1vBMXdtlHyjzNJniQTytLOaXp2lhXEcITfYP&#10;hwcX2zoNIJBN2cUWcTQ9F6+rKEn5azg/zfB6cFcwHPGKY++f0ArPg/OADqjtnQ+odXY2+HhxSgfe&#10;BfHdM+fs9PSM/ItDI3S0SKbTOMPR1X6A0IfZhPBIHMHSE8hpGG5fnd0iDLb+nw2aPV18oNwwL/Pp&#10;zdcCZ0OYKUciM14JSmFjTm1jArcOt6/94XYXf7VB9aAvGh0jbmk9p9/x1j7lGyOkfFoZBtEXGtUG&#10;fo/gZMbMXaJE78eiyNdosOBWtuDL3ejD4evYRMDXCzvwJU7ocQT7LnMqtwO4ANSycd4C2S3EbQHz&#10;gv3rAyZHXcvK78Ihsan1yQ4HF+CNBvSCuoPQt4KBRcJPoWfRkJ5dbOPwS5LFz8fhs73PMqmAnqTJ&#10;cmwG0kVFo9tckXQjOPwa4PX/fUCvNpcbgDnaA8e8UeTgcMEzA6eCF4u8+Ns01sBPwAv/dRUVsWmk&#10;v2RgVSGhFAkNe0Nd34Y3RfvIZftIlE3gUmOzMg3+8rTiJOhqVaBnr+04yzFSzRLm1ptRbTsiBYET&#10;CAAnIw0AGQ3AIUF4VQdASh1wBoyLEOZZWaBhVMW2bIAmRlDfZURS448x81YcPAr8CfarYbjLXyG+&#10;cBi2+KvXCoQK+KtvcfxRy+vgT9BXJ4B0AalSzfMbNqrp60PSREX0VUHUAHe8Y66MNImwocBcqTBX&#10;N6Qdc3UsYbD3xAqdbNXFn96ixv/HWqEy1uU4Qcu3quM4dUIHSXLHZj1SV2IoVBHudLL7STFUEwiW&#10;w3SSceTojCPIyk0vVY+jH0DZ3yJZh3LcjttlpTd1bvd2luDYgDMk6drtHkGNSwFJIBCGu+ZKIDYL&#10;/g/ZpQKaUNurD/Vu/MtNVqnt9ZhqsirsVQozshZCLCHOKC6G2D4BZwq+1CUeSwMbs3UdwW6J47BD&#10;t6dj+2EKiCFdjGzrIk8qRjKiw1hgU/3r1CTfLtEhUs9rQVGyQqV1SccKoDiDULQsIZDWKowfCtIO&#10;GhfXHm6tjGgoohD5BFVShS7AoChlJ51z8NK/UD2hGN/Nnokl/ZZSKNqWA34BZQDHZzSyiYqgesEh&#10;zD5Cl/E81VHxoPJnqeD02vJblboI1Lc7dSACRcQmHVFXCJKWDIbcqQQ1lhz4ryI2H5QlSw1EW3Kr&#10;2wmLhbuZtUS9kszaIS6MAhwuSOIdXiQSFDuw7nHFB1uBNyrWD1YVCXSIpTHUGsfmMp5CS0AMzZf4&#10;ipdo30hDlIrkWyqgLcYv0a+UZnisGI+WHUDfwVbNiECbpOhEgBfcBupmy04r334Y/0E5Z6n4aefc&#10;ds494iix5Fwpcc6ymaan7GkFom/3HgM+WOesXW+rb79XusVW/b429/7eaSw17rKJtkK6pzq9MUuT&#10;1Y+6I040q0MphfMK1+OgaZK8mlc49J5qy8GaruYVW43WKnhFj2YKffitrG9Pxo1lcmHS0htT4nUI&#10;hU2O3Rtrk1Zt0tiAvOOvQWyFuLjfPoC7/TV1oTq3xZZrfw1l8jupsnbXx7EuRoG7tns0WPI6Giys&#10;sYF1XFjhcDzasWwf+rdYtRnOudu230AaKJmiTgNbaaAtJUy2woaApLntoMW78pGLC0OXlawbVgyr&#10;Mx/Ud5XCSpm7liZJTR/X+T27znDnakLNGZRzhh4Vjy+zEZRBnfYB6mHAZTxKnA4dDinkfqjiuVzg&#10;U63i6d4WnIGX6W2ROZYOC+2w0CNCgjDZhIbXAKJjAe5gCE1Q0UDc3jhidzHEsyOkss6WJjXUSGwj&#10;EUJNtx0ASo+vgkRiI12EuGcHsOfGFhJJWHeZBeE9Ffs3kGs0uaC25bYt96in5HXU0yCAsj3Pmnf2&#10;UaB1qhI4Om1uEkJtym1TlvKpyJu7yqlw0A/Lmy1cTses0e3uKiCy5vs35TmgxBnuHVIi3XXCtix7&#10;AekTl6xxDiCMTdayhEz/Usbmg8N7yOK4R9ua58CWGMjcn9JcrYs0fCerzjpU7o8Ra1gcgb3LuLCy&#10;/03MpFYprFGm0M+yRurtLFzQ1njkW5QpkGJwnVk3PwLpUXhEpR15UDwX+RGUDjuVCp0fgY+SK+eb&#10;mq4mlS1SiVtVtuM8yIyNHWMDyKPifLNV3M5Oj0SmOPfk6o8O9Hpvx/aqesaDn7K3owrH2VH+wHW9&#10;hLFRSrulIW1sh72RqApj6xH27NdZnif75h2xTWYjJxDoQ+b5j6/75s1G79FBuh2kpTTWbIIH25l2&#10;nCfmuvvbxTmg0BuK9aJdbdoJj3x/G911oTqhxzR7J4V6JYnJsWGjeSYxyd3c630Mmv2NddsF+5qA&#10;o1Z7pX3p4NIOLlIhaweXtkS2/3UABPYx5mrEbnSxcbcsvXsaRHe5m87BfkMAlIXFl2+wEjH7yhCW&#10;kIqvN8HvJGm/Z2c1X8Jy8h8AAAD//wMAUEsDBBQABgAIAAAAIQAisHKK4gAAAAsBAAAPAAAAZHJz&#10;L2Rvd25yZXYueG1sTI9BS8NAEIXvgv9hGcFbu1lNtMZsSinqqRRsBfE2TaZJaHY3ZLdJ+u+dnvQ0&#10;PN7jzfey5WRaMVDvG2c1qHkEgmzhysZWGr7277MFCB/Qltg6Sxou5GGZ395kmJZutJ807EIluMT6&#10;FDXUIXSplL6oyaCfu44se0fXGwws+0qWPY5cblr5EEVP0mBj+UONHa1rKk67s9HwMeK4elRvw+Z0&#10;XF9+9sn2e6NI6/u7afUKItAU/sJwxWd0yJnp4M629KLVMIsXvCWwEfG9BuI4USAOGpJn9QIyz+T/&#10;DfkvAAAA//8DAFBLAQItABQABgAIAAAAIQC2gziS/gAAAOEBAAATAAAAAAAAAAAAAAAAAAAAAABb&#10;Q29udGVudF9UeXBlc10ueG1sUEsBAi0AFAAGAAgAAAAhADj9If/WAAAAlAEAAAsAAAAAAAAAAAAA&#10;AAAALwEAAF9yZWxzLy5yZWxzUEsBAi0AFAAGAAgAAAAhAFE1LARSCQAAzGUAAA4AAAAAAAAAAAAA&#10;AAAALgIAAGRycy9lMm9Eb2MueG1sUEsBAi0AFAAGAAgAAAAhACKwcoriAAAACwEAAA8AAAAAAAAA&#10;AAAAAAAArAsAAGRycy9kb3ducmV2LnhtbFBLBQYAAAAABAAEAPMAAAC7DAAAAAA=&#10;">
            <o:lock v:ext="edit"/>
            <v:shape id="AutoShape 92" o:spid="_x0000_s1028" o:spt="32" type="#_x0000_t32" style="position:absolute;left:14687;top:3357;height:1092;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path arrowok="t"/>
              <v:fill on="f" focussize="0,0"/>
              <v:stroke/>
              <v:imagedata o:title=""/>
              <o:lock v:ext="edit"/>
            </v:shape>
            <v:group id="Group 93" o:spid="_x0000_s1029" o:spt="203" style="position:absolute;left:789;top:2709;height:5619;width:14931;" coordorigin="789,2709" coordsize="14931,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shape id="Text Box 94" o:spid="_x0000_s1030" o:spt="202" type="#_x0000_t202" style="position:absolute;left:13217;top:3697;height:752;width:1396;"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v:path/>
                <v:fill focussize="0,0"/>
                <v:stroke on="f" joinstyle="miter"/>
                <v:imagedata o:title=""/>
                <o:lock v:ext="edit"/>
                <v:textbox>
                  <w:txbxContent>
                    <w:p>
                      <w:pPr>
                        <w:spacing w:line="200" w:lineRule="exact"/>
                        <w:jc w:val="center"/>
                        <w:rPr>
                          <w:spacing w:val="-10"/>
                          <w:sz w:val="18"/>
                          <w:szCs w:val="18"/>
                        </w:rPr>
                      </w:pPr>
                      <w:r>
                        <w:rPr>
                          <w:rFonts w:hint="eastAsia"/>
                          <w:spacing w:val="-10"/>
                          <w:sz w:val="18"/>
                          <w:szCs w:val="18"/>
                        </w:rPr>
                        <w:t>出具《不良行为认定书通知书》并报市水务局</w:t>
                      </w:r>
                    </w:p>
                  </w:txbxContent>
                </v:textbox>
              </v:shape>
              <v:shape id="Text Box 95" o:spid="_x0000_s1031" o:spt="202" type="#_x0000_t202" style="position:absolute;left:4434;top:3513;height:750;width:2027;"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v:path/>
                <v:fill focussize="0,0"/>
                <v:stroke on="f" joinstyle="miter"/>
                <v:imagedata o:title=""/>
                <o:lock v:ext="edit"/>
                <v:textbox>
                  <w:txbxContent>
                    <w:p>
                      <w:pPr>
                        <w:jc w:val="center"/>
                        <w:rPr>
                          <w:spacing w:val="-10"/>
                          <w:sz w:val="18"/>
                          <w:szCs w:val="18"/>
                        </w:rPr>
                      </w:pPr>
                      <w:r>
                        <w:rPr>
                          <w:rFonts w:hint="eastAsia"/>
                          <w:spacing w:val="-10"/>
                          <w:sz w:val="18"/>
                          <w:szCs w:val="18"/>
                        </w:rPr>
                        <w:t>因累计扣分值达到不良行为认定等级等情形的</w:t>
                      </w:r>
                    </w:p>
                  </w:txbxContent>
                </v:textbox>
              </v:shape>
              <v:shape id="AutoShape 96" o:spid="_x0000_s1032" o:spt="32" type="#_x0000_t32" style="position:absolute;left:1704;top:4063;height:3885;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path arrowok="t"/>
                <v:fill on="f" focussize="0,0"/>
                <v:stroke/>
                <v:imagedata o:title=""/>
                <o:lock v:ext="edit"/>
              </v:shape>
              <v:shape id="AutoShape 97" o:spid="_x0000_s1033" o:spt="32" type="#_x0000_t32" style="position:absolute;left:1404;top:5943;height:0;width:30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v:imagedata o:title=""/>
                <o:lock v:ext="edit"/>
              </v:shape>
              <v:shape id="Text Box 98" o:spid="_x0000_s1034" o:spt="202" type="#_x0000_t202" style="position:absolute;left:789;top:4263;height:3487;width:6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a8cAA&#10;AADaAAAADwAAAGRycy9kb3ducmV2LnhtbERPPWvDMBDdA/0P4gpdQiO3gx2cKCGUBLrUNE66H9bF&#10;NrFORlJt9d9XQ6Hj431v99EMYiLne8sKXlYZCOLG6p5bBdfL6XkNwgdkjYNlUvBDHva7h8UWS21n&#10;PtNUh1akEPYlKuhCGEspfdORQb+yI3HibtYZDAm6VmqHcwo3g3zNslwa7Dk1dDjSW0fNvf42CmJ+&#10;WX4U51Ac19UUK4mn46f7UurpMR42IALF8C/+c79rBWlrup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Ea8cAAAADaAAAADwAAAAAAAAAAAAAAAACYAgAAZHJzL2Rvd25y&#10;ZXYueG1sUEsFBgAAAAAEAAQA9QAAAIUDAAAAAA==&#10;">
                <v:path/>
                <v:fill focussize="0,0"/>
                <v:stroke joinstyle="miter"/>
                <v:imagedata o:title=""/>
                <o:lock v:ext="edit"/>
                <v:textbox style="layout-flow:vertical-ideographic;">
                  <w:txbxContent>
                    <w:p>
                      <w:pPr>
                        <w:jc w:val="center"/>
                        <w:rPr>
                          <w:sz w:val="18"/>
                          <w:szCs w:val="18"/>
                        </w:rPr>
                      </w:pPr>
                      <w:r>
                        <w:rPr>
                          <w:rFonts w:hint="eastAsia"/>
                          <w:sz w:val="18"/>
                          <w:szCs w:val="18"/>
                        </w:rPr>
                        <w:t>市</w:t>
                      </w:r>
                      <w:r>
                        <w:rPr>
                          <w:sz w:val="18"/>
                          <w:szCs w:val="18"/>
                        </w:rPr>
                        <w:t xml:space="preserve"> </w:t>
                      </w:r>
                      <w:r>
                        <w:rPr>
                          <w:rFonts w:hint="eastAsia"/>
                          <w:sz w:val="18"/>
                          <w:szCs w:val="18"/>
                        </w:rPr>
                        <w:t>场</w:t>
                      </w:r>
                      <w:r>
                        <w:rPr>
                          <w:sz w:val="18"/>
                          <w:szCs w:val="18"/>
                        </w:rPr>
                        <w:t xml:space="preserve"> </w:t>
                      </w:r>
                      <w:r>
                        <w:rPr>
                          <w:rFonts w:hint="eastAsia"/>
                          <w:sz w:val="18"/>
                          <w:szCs w:val="18"/>
                        </w:rPr>
                        <w:t>主</w:t>
                      </w:r>
                      <w:r>
                        <w:rPr>
                          <w:sz w:val="18"/>
                          <w:szCs w:val="18"/>
                        </w:rPr>
                        <w:t xml:space="preserve"> </w:t>
                      </w:r>
                      <w:r>
                        <w:rPr>
                          <w:rFonts w:hint="eastAsia"/>
                          <w:sz w:val="18"/>
                          <w:szCs w:val="18"/>
                        </w:rPr>
                        <w:t>体</w:t>
                      </w:r>
                      <w:r>
                        <w:rPr>
                          <w:sz w:val="18"/>
                          <w:szCs w:val="18"/>
                        </w:rPr>
                        <w:t xml:space="preserve"> </w:t>
                      </w:r>
                      <w:r>
                        <w:rPr>
                          <w:rFonts w:hint="eastAsia"/>
                          <w:sz w:val="18"/>
                          <w:szCs w:val="18"/>
                        </w:rPr>
                        <w:t>不良行为信息</w:t>
                      </w:r>
                    </w:p>
                  </w:txbxContent>
                </v:textbox>
              </v:shape>
              <v:shape id="AutoShape 99" o:spid="_x0000_s1035" o:spt="32" type="#_x0000_t32" style="position:absolute;left:1704;top:4063;height:0;width:32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path arrowok="t"/>
                <v:fill on="f" focussize="0,0"/>
                <v:stroke/>
                <v:imagedata o:title=""/>
                <o:lock v:ext="edit"/>
              </v:shape>
              <v:shape id="AutoShape 100" o:spid="_x0000_s1036" o:spt="32" type="#_x0000_t32" style="position:absolute;left:1704;top:7948;height:0;width:32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path arrowok="t"/>
                <v:fill on="f" focussize="0,0"/>
                <v:stroke/>
                <v:imagedata o:title=""/>
                <o:lock v:ext="edit"/>
              </v:shape>
              <v:shape id="Text Box 101" o:spid="_x0000_s1037" o:spt="202" type="#_x0000_t202" style="position:absolute;left:2718;top:5166;height:1336;width:53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HYsAA&#10;AADbAAAADwAAAGRycy9kb3ducmV2LnhtbERPTYvCMBC9L/gfwgheZE2rsErXKCIKShFRd+9DM7bF&#10;ZlKaqPXfG0HwNo/3OdN5aypxo8aVlhXEgwgEcWZ1ybmCv9P6ewLCeWSNlWVS8CAH81nna4qJtnc+&#10;0O3ocxFC2CWooPC+TqR0WUEG3cDWxIE728agD7DJpW7wHsJNJYdR9CMNlhwaCqxpWVB2OV6Ngv4o&#10;dYt43I7/R7vlfpuu+gefklK9brv4BeGp9R/x273RYX4Mr1/C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3HYsAAAADbAAAADwAAAAAAAAAAAAAAAACYAgAAZHJzL2Rvd25y&#10;ZXYueG1sUEsFBgAAAAAEAAQA9QAAAIUDAAAAAA==&#10;">
                <v:path/>
                <v:fill focussize="0,0"/>
                <v:stroke on="f" joinstyle="miter"/>
                <v:imagedata o:title=""/>
                <o:lock v:ext="edit"/>
                <v:textbox style="layout-flow:vertical-ideographic;">
                  <w:txbxContent>
                    <w:p>
                      <w:pPr>
                        <w:spacing w:line="240" w:lineRule="exact"/>
                        <w:rPr>
                          <w:sz w:val="18"/>
                          <w:szCs w:val="18"/>
                        </w:rPr>
                      </w:pPr>
                      <w:r>
                        <w:rPr>
                          <w:rFonts w:hint="eastAsia"/>
                          <w:sz w:val="18"/>
                          <w:szCs w:val="18"/>
                        </w:rPr>
                        <w:t>一般情况下</w:t>
                      </w:r>
                    </w:p>
                  </w:txbxContent>
                </v:textbox>
              </v:shape>
              <v:shape id="Text Box 102" o:spid="_x0000_s1038" o:spt="202" type="#_x0000_t202" style="position:absolute;left:3086;top:5005;height:1751;width:795;"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ZFcAA&#10;AADbAAAADwAAAGRycy9kb3ducmV2LnhtbERPy6rCMBDdC/5DGMGNaKqCSjWKiIJSLuJrPzRjW2wm&#10;pYla//7mwgV3czjPWawaU4oX1a6wrGA4iEAQp1YXnCm4Xnb9GQjnkTWWlknBhxyslu3WAmNt33yi&#10;19lnIoSwi1FB7n0VS+nSnAy6ga2IA3e3tUEfYJ1JXeM7hJtSjqJoIg0WHBpyrGiTU/o4P42C3jhx&#10;6+G0md7GP5vjIdn2Tj4hpbqdZj0H4anxX/G/e6/D/BH8/R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9ZFcAAAADbAAAADwAAAAAAAAAAAAAAAACYAgAAZHJzL2Rvd25y&#10;ZXYueG1sUEsFBgAAAAAEAAQA9QAAAIUDAAAAAA==&#10;">
                <v:path/>
                <v:fill focussize="0,0"/>
                <v:stroke on="f" joinstyle="miter"/>
                <v:imagedata o:title=""/>
                <o:lock v:ext="edit"/>
                <v:textbox style="layout-flow:vertical-ideographic;">
                  <w:txbxContent>
                    <w:p>
                      <w:pPr>
                        <w:spacing w:line="240" w:lineRule="exact"/>
                        <w:rPr>
                          <w:sz w:val="18"/>
                          <w:szCs w:val="18"/>
                        </w:rPr>
                      </w:pPr>
                      <w:r>
                        <w:rPr>
                          <w:rFonts w:hint="eastAsia"/>
                          <w:sz w:val="18"/>
                          <w:szCs w:val="18"/>
                        </w:rPr>
                        <w:t>责成项目法人提出</w:t>
                      </w:r>
                    </w:p>
                    <w:p>
                      <w:pPr>
                        <w:spacing w:line="240" w:lineRule="exact"/>
                        <w:rPr>
                          <w:sz w:val="18"/>
                          <w:szCs w:val="18"/>
                        </w:rPr>
                      </w:pPr>
                      <w:r>
                        <w:rPr>
                          <w:rFonts w:hint="eastAsia"/>
                          <w:sz w:val="18"/>
                          <w:szCs w:val="18"/>
                        </w:rPr>
                        <w:t>不良行为认定申请</w:t>
                      </w:r>
                    </w:p>
                  </w:txbxContent>
                </v:textbox>
              </v:shape>
              <v:shape id="Text Box 103" o:spid="_x0000_s1039" o:spt="202" type="#_x0000_t202" style="position:absolute;left:2032;top:7370;height:958;width:240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path/>
                <v:fill focussize="0,0"/>
                <v:stroke joinstyle="miter"/>
                <v:imagedata o:title=""/>
                <o:lock v:ext="edit"/>
                <v:textbox>
                  <w:txbxContent>
                    <w:p>
                      <w:pPr>
                        <w:spacing w:line="240" w:lineRule="exact"/>
                        <w:jc w:val="left"/>
                        <w:rPr>
                          <w:spacing w:val="-10"/>
                          <w:sz w:val="18"/>
                          <w:szCs w:val="18"/>
                        </w:rPr>
                      </w:pPr>
                      <w:r>
                        <w:rPr>
                          <w:rFonts w:hint="eastAsia"/>
                          <w:spacing w:val="-10"/>
                          <w:sz w:val="18"/>
                          <w:szCs w:val="18"/>
                        </w:rPr>
                        <w:t>项目法人在履职过程中发现市场主体存在不良行为信息的</w:t>
                      </w:r>
                    </w:p>
                  </w:txbxContent>
                </v:textbox>
              </v:shape>
              <v:shape id="Text Box 104" o:spid="_x0000_s1040" o:spt="202" type="#_x0000_t202" style="position:absolute;left:2032;top:3703;height:872;width:240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path/>
                <v:fill focussize="0,0"/>
                <v:stroke joinstyle="miter"/>
                <v:imagedata o:title=""/>
                <o:lock v:ext="edit"/>
                <v:textbox>
                  <w:txbxContent>
                    <w:p>
                      <w:pPr>
                        <w:spacing w:line="240" w:lineRule="exact"/>
                        <w:jc w:val="left"/>
                        <w:rPr>
                          <w:spacing w:val="-10"/>
                          <w:sz w:val="18"/>
                          <w:szCs w:val="18"/>
                        </w:rPr>
                      </w:pPr>
                      <w:r>
                        <w:rPr>
                          <w:rFonts w:hint="eastAsia"/>
                          <w:spacing w:val="-10"/>
                          <w:sz w:val="18"/>
                          <w:szCs w:val="18"/>
                        </w:rPr>
                        <w:t>水行政主管部门或其委托的监督机构在履职中发现的市场主体不良行为信息</w:t>
                      </w:r>
                    </w:p>
                  </w:txbxContent>
                </v:textbox>
              </v:shape>
              <v:shape id="AutoShape 105" o:spid="_x0000_s1041" o:spt="32" type="#_x0000_t32" style="position:absolute;left:3155;top:4575;height:28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shape id="Text Box 106" o:spid="_x0000_s1042" o:spt="202" type="#_x0000_t202" style="position:absolute;left:6615;top:4827;height:780;width:16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path/>
                <v:fill focussize="0,0"/>
                <v:stroke joinstyle="miter"/>
                <v:imagedata o:title=""/>
                <o:lock v:ext="edit"/>
                <v:textbox>
                  <w:txbxContent>
                    <w:p>
                      <w:pPr>
                        <w:spacing w:line="200" w:lineRule="exact"/>
                        <w:jc w:val="center"/>
                        <w:rPr>
                          <w:spacing w:val="-10"/>
                          <w:sz w:val="18"/>
                          <w:szCs w:val="18"/>
                        </w:rPr>
                      </w:pPr>
                      <w:r>
                        <w:rPr>
                          <w:rFonts w:hint="eastAsia"/>
                          <w:spacing w:val="-10"/>
                          <w:sz w:val="18"/>
                          <w:szCs w:val="18"/>
                        </w:rPr>
                        <w:t>向相应水行政主管部门提出不良行为认定申请</w:t>
                      </w:r>
                    </w:p>
                  </w:txbxContent>
                </v:textbox>
              </v:shape>
              <v:shape id="AutoShape 107" o:spid="_x0000_s1043" o:spt="32" type="#_x0000_t32" style="position:absolute;left:4434;top:7948;height:0;width:308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path arrowok="t"/>
                <v:fill on="f" focussize="0,0"/>
                <v:stroke/>
                <v:imagedata o:title=""/>
                <o:lock v:ext="edit"/>
              </v:shape>
              <v:shape id="AutoShape 108" o:spid="_x0000_s1044" o:spt="32" type="#_x0000_t32" style="position:absolute;left:7515;top:5607;flip:y;height:234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path arrowok="t"/>
                <v:fill on="f" focussize="0,0"/>
                <v:stroke endarrow="block"/>
                <v:imagedata o:title=""/>
                <o:lock v:ext="edit"/>
              </v:shape>
              <v:shape id="AutoShape 109" o:spid="_x0000_s1045" o:spt="32" type="#_x0000_t32" style="position:absolute;left:4434;top:4167;height:0;width:218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path arrowok="t"/>
                <v:fill on="f" focussize="0,0"/>
                <v:stroke endarrow="block"/>
                <v:imagedata o:title=""/>
                <o:lock v:ext="edit"/>
              </v:shape>
              <v:shape id="AutoShape 110" o:spid="_x0000_s1046" o:spt="32" type="#_x0000_t32" style="position:absolute;left:7515;top:4532;flip:y;height:295;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path arrowok="t"/>
                <v:fill on="f" focussize="0,0"/>
                <v:stroke endarrow="block"/>
                <v:imagedata o:title=""/>
                <o:lock v:ext="edit"/>
              </v:shape>
              <v:shape id="Text Box 111" o:spid="_x0000_s1047" o:spt="202" type="#_x0000_t202" style="position:absolute;left:14957;top:3642;height:495;width:76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path/>
                <v:fill focussize="0,0"/>
                <v:stroke joinstyle="miter"/>
                <v:imagedata o:title=""/>
                <o:lock v:ext="edit"/>
                <v:textbox>
                  <w:txbxContent>
                    <w:p>
                      <w:pPr>
                        <w:jc w:val="center"/>
                        <w:rPr>
                          <w:sz w:val="18"/>
                          <w:szCs w:val="18"/>
                        </w:rPr>
                      </w:pPr>
                      <w:r>
                        <w:rPr>
                          <w:rFonts w:hint="eastAsia"/>
                          <w:sz w:val="18"/>
                          <w:szCs w:val="18"/>
                        </w:rPr>
                        <w:t>公告</w:t>
                      </w:r>
                    </w:p>
                  </w:txbxContent>
                </v:textbox>
              </v:shape>
              <v:line id="Line 112" o:spid="_x0000_s1048" o:spt="20" style="position:absolute;left:14687;top:3954;height:0;width:27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path arrowok="t"/>
                <v:fill focussize="0,0"/>
                <v:stroke endarrow="block"/>
                <v:imagedata o:title=""/>
                <o:lock v:ext="edit"/>
              </v:line>
              <v:shape id="Text Box 113" o:spid="_x0000_s1049" o:spt="202" type="#_x0000_t202" style="position:absolute;left:10382;top:4137;height:570;width:945;"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v:path/>
                <v:fill focussize="0,0"/>
                <v:stroke on="f" joinstyle="miter"/>
                <v:imagedata o:title=""/>
                <o:lock v:ext="edit"/>
                <v:textbox>
                  <w:txbxContent>
                    <w:p>
                      <w:pPr>
                        <w:spacing w:line="200" w:lineRule="exact"/>
                        <w:jc w:val="center"/>
                        <w:rPr>
                          <w:spacing w:val="-10"/>
                          <w:sz w:val="18"/>
                          <w:szCs w:val="18"/>
                        </w:rPr>
                      </w:pPr>
                      <w:r>
                        <w:rPr>
                          <w:rFonts w:hint="eastAsia"/>
                          <w:spacing w:val="-10"/>
                          <w:sz w:val="18"/>
                          <w:szCs w:val="18"/>
                        </w:rPr>
                        <w:t>区环水局</w:t>
                      </w:r>
                    </w:p>
                    <w:p>
                      <w:pPr>
                        <w:spacing w:line="200" w:lineRule="exact"/>
                        <w:jc w:val="center"/>
                        <w:rPr>
                          <w:spacing w:val="-10"/>
                          <w:sz w:val="18"/>
                          <w:szCs w:val="18"/>
                        </w:rPr>
                      </w:pPr>
                      <w:r>
                        <w:rPr>
                          <w:rFonts w:hint="eastAsia"/>
                          <w:spacing w:val="-10"/>
                          <w:sz w:val="18"/>
                          <w:szCs w:val="18"/>
                        </w:rPr>
                        <w:t>受理时</w:t>
                      </w:r>
                    </w:p>
                  </w:txbxContent>
                </v:textbox>
              </v:shape>
              <v:shape id="Text Box 114" o:spid="_x0000_s1050" o:spt="202" type="#_x0000_t202" style="position:absolute;left:10382;top:3045;height:570;width:945;"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v:path/>
                <v:fill focussize="0,0"/>
                <v:stroke on="f" joinstyle="miter"/>
                <v:imagedata o:title=""/>
                <o:lock v:ext="edit"/>
                <v:textbox>
                  <w:txbxContent>
                    <w:p>
                      <w:pPr>
                        <w:spacing w:line="200" w:lineRule="exact"/>
                        <w:jc w:val="center"/>
                        <w:rPr>
                          <w:spacing w:val="-10"/>
                          <w:sz w:val="18"/>
                          <w:szCs w:val="18"/>
                        </w:rPr>
                      </w:pPr>
                      <w:r>
                        <w:rPr>
                          <w:rFonts w:hint="eastAsia"/>
                          <w:spacing w:val="-10"/>
                          <w:sz w:val="18"/>
                          <w:szCs w:val="18"/>
                        </w:rPr>
                        <w:t>市水务局</w:t>
                      </w:r>
                    </w:p>
                    <w:p>
                      <w:pPr>
                        <w:spacing w:line="200" w:lineRule="exact"/>
                        <w:jc w:val="center"/>
                        <w:rPr>
                          <w:spacing w:val="-10"/>
                          <w:sz w:val="18"/>
                          <w:szCs w:val="18"/>
                        </w:rPr>
                      </w:pPr>
                      <w:r>
                        <w:rPr>
                          <w:rFonts w:hint="eastAsia"/>
                          <w:spacing w:val="-10"/>
                          <w:sz w:val="18"/>
                          <w:szCs w:val="18"/>
                        </w:rPr>
                        <w:t>受理时</w:t>
                      </w:r>
                    </w:p>
                  </w:txbxContent>
                </v:textbox>
              </v:shape>
              <v:shape id="Text Box 115" o:spid="_x0000_s1051" o:spt="202" type="#_x0000_t202" style="position:absolute;left:11222;top:2889;height:890;width:19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path/>
                <v:fill focussize="0,0"/>
                <v:stroke joinstyle="miter"/>
                <v:imagedata o:title=""/>
                <o:lock v:ext="edit"/>
                <v:textbox>
                  <w:txbxContent>
                    <w:p>
                      <w:pPr>
                        <w:spacing w:line="240" w:lineRule="exact"/>
                        <w:jc w:val="center"/>
                        <w:rPr>
                          <w:sz w:val="18"/>
                          <w:szCs w:val="18"/>
                        </w:rPr>
                      </w:pPr>
                      <w:r>
                        <w:rPr>
                          <w:rFonts w:hint="eastAsia"/>
                          <w:sz w:val="18"/>
                          <w:szCs w:val="18"/>
                        </w:rPr>
                        <w:t>10工作日内未收到相关单位的书面申辩或陈述报告</w:t>
                      </w:r>
                    </w:p>
                  </w:txbxContent>
                </v:textbox>
              </v:shape>
              <v:shape id="Text Box 116" o:spid="_x0000_s1052" o:spt="202" type="#_x0000_t202" style="position:absolute;left:8807;top:3697;height:835;width:147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path/>
                <v:fill focussize="0,0"/>
                <v:stroke joinstyle="miter"/>
                <v:imagedata o:title=""/>
                <o:lock v:ext="edit"/>
                <v:textbox>
                  <w:txbxContent>
                    <w:p>
                      <w:pPr>
                        <w:spacing w:line="200" w:lineRule="exact"/>
                        <w:jc w:val="center"/>
                        <w:rPr>
                          <w:spacing w:val="-8"/>
                          <w:sz w:val="18"/>
                          <w:szCs w:val="18"/>
                        </w:rPr>
                      </w:pPr>
                      <w:r>
                        <w:rPr>
                          <w:rFonts w:hint="eastAsia"/>
                          <w:spacing w:val="-8"/>
                          <w:sz w:val="18"/>
                          <w:szCs w:val="18"/>
                        </w:rPr>
                        <w:t>水行政主管部门会提出单位受理申辩或陈述</w:t>
                      </w:r>
                    </w:p>
                  </w:txbxContent>
                </v:textbox>
              </v:shape>
              <v:line id="Line 117" o:spid="_x0000_s1053" o:spt="20" style="position:absolute;left:10487;top:3513;height:109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path arrowok="t"/>
                <v:fill focussize="0,0"/>
                <v:stroke/>
                <v:imagedata o:title=""/>
                <o:lock v:ext="edit"/>
              </v:line>
              <v:line id="Line 118" o:spid="_x0000_s1054" o:spt="20" style="position:absolute;left:10487;top:3513;height:0;width:73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BsEAAADbAAAADwAAAGRycy9kb3ducmV2LnhtbERPXWvCMBR9F/wP4Qq+yEy1OKUzyhBE&#10;ByJO5/tdc23LmpuSRO3+vXkQfDyc7/myNbW4kfOVZQWjYQKCOLe64kLBz2n9NgPhA7LG2jIp+CcP&#10;y0W3M8dM2zt/0+0YChFD2GeooAyhyaT0eUkG/dA2xJG7WGcwROgKqR3eY7ip5ThJ3qXBimNDiQ2t&#10;Ssr/jlejYLqrfqf7vRtIOn1NtofzJr2kqVL9Xvv5ASJQG17ip3urFYzj2Pgl/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H8GwQAAANsAAAAPAAAAAAAAAAAAAAAA&#10;AKECAABkcnMvZG93bnJldi54bWxQSwUGAAAAAAQABAD5AAAAjwMAAAAA&#10;">
                <v:path arrowok="t"/>
                <v:fill focussize="0,0"/>
                <v:stroke weight="0.5pt" endarrow="block"/>
                <v:imagedata o:title=""/>
                <o:lock v:ext="edit"/>
              </v:line>
              <v:line id="Line 119" o:spid="_x0000_s1055" o:spt="20" style="position:absolute;left:10487;top:4605;height:0;width:73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ancUAAADbAAAADwAAAGRycy9kb3ducmV2LnhtbESP3WoCMRSE74W+QzgFb0SzdbHarVFE&#10;EC0UqT+9P90cd5duTpYk6vr2piD0cpiZb5jpvDW1uJDzlWUFL4MEBHFudcWFguNh1Z+A8AFZY22Z&#10;FNzIw3z21Jlipu2Vd3TZh0JECPsMFZQhNJmUPi/JoB/Yhjh6J+sMhihdIbXDa4SbWg6T5FUarDgu&#10;lNjQsqT8d382Csaf1c94u3U9SYeP0ebre52e0lSp7nO7eAcRqA3/4Ud7oxUM3+DvS/w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DancUAAADbAAAADwAAAAAAAAAA&#10;AAAAAAChAgAAZHJzL2Rvd25yZXYueG1sUEsFBgAAAAAEAAQA+QAAAJMDAAAAAA==&#10;">
                <v:path arrowok="t"/>
                <v:fill focussize="0,0"/>
                <v:stroke weight="0.5pt" endarrow="block"/>
                <v:imagedata o:title=""/>
                <o:lock v:ext="edit"/>
              </v:line>
              <v:shape id="Text Box 120" o:spid="_x0000_s1056" o:spt="202" type="#_x0000_t202" style="position:absolute;left:11222;top:3825;height:890;width:19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path/>
                <v:fill focussize="0,0"/>
                <v:stroke joinstyle="miter"/>
                <v:imagedata o:title=""/>
                <o:lock v:ext="edit"/>
                <v:textbox>
                  <w:txbxContent>
                    <w:p>
                      <w:pPr>
                        <w:spacing w:line="240" w:lineRule="exact"/>
                        <w:jc w:val="center"/>
                        <w:rPr>
                          <w:sz w:val="18"/>
                          <w:szCs w:val="18"/>
                        </w:rPr>
                      </w:pPr>
                      <w:r>
                        <w:rPr>
                          <w:rFonts w:hint="eastAsia"/>
                          <w:sz w:val="18"/>
                          <w:szCs w:val="18"/>
                        </w:rPr>
                        <w:t>10工作日内未收到相关单位的书面申辩或陈述报告</w:t>
                      </w:r>
                    </w:p>
                  </w:txbxContent>
                </v:textbox>
              </v:shape>
              <v:line id="Line 121" o:spid="_x0000_s1057" o:spt="20" style="position:absolute;left:13217;top:3357;height:0;width:147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path arrowok="t"/>
                <v:fill focussize="0,0"/>
                <v:stroke/>
                <v:imagedata o:title=""/>
                <o:lock v:ext="edit"/>
              </v:line>
              <v:line id="Line 122" o:spid="_x0000_s1058" o:spt="20" style="position:absolute;left:13217;top:4449;height:0;width:147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path arrowok="t"/>
                <v:fill focussize="0,0"/>
                <v:stroke/>
                <v:imagedata o:title=""/>
                <o:lock v:ext="edit"/>
              </v:line>
              <v:shape id="Text Box 123" o:spid="_x0000_s1059" o:spt="202" type="#_x0000_t202" style="position:absolute;left:6615;top:3752;height:780;width:179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path/>
                <v:fill focussize="0,0"/>
                <v:stroke joinstyle="miter"/>
                <v:imagedata o:title=""/>
                <o:lock v:ext="edit"/>
                <v:textbox>
                  <w:txbxContent>
                    <w:p>
                      <w:pPr>
                        <w:spacing w:line="200" w:lineRule="exact"/>
                        <w:jc w:val="center"/>
                        <w:rPr>
                          <w:spacing w:val="-10"/>
                          <w:sz w:val="18"/>
                          <w:szCs w:val="18"/>
                        </w:rPr>
                      </w:pPr>
                      <w:r>
                        <w:rPr>
                          <w:rFonts w:hint="eastAsia"/>
                          <w:spacing w:val="-10"/>
                          <w:sz w:val="18"/>
                          <w:szCs w:val="18"/>
                        </w:rPr>
                        <w:t>水行政主管部门作出初步认定告知书并书面通知市场主体</w:t>
                      </w:r>
                    </w:p>
                  </w:txbxContent>
                </v:textbox>
              </v:shape>
              <v:shape id="AutoShape 124" o:spid="_x0000_s1060" o:spt="32" type="#_x0000_t32" style="position:absolute;left:8409;top:4137;height:0;width:39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path arrowok="t"/>
                <v:fill on="f" focussize="0,0"/>
                <v:stroke endarrow="block"/>
                <v:imagedata o:title=""/>
                <o:lock v:ext="edit"/>
              </v:shape>
              <v:shape id="Text Box 125" o:spid="_x0000_s1061" o:spt="202" type="#_x0000_t202" style="position:absolute;left:13291;top:2709;height:570;width:1396;"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v:path/>
                <v:fill focussize="0,0"/>
                <v:stroke on="f" joinstyle="miter"/>
                <v:imagedata o:title=""/>
                <o:lock v:ext="edit"/>
                <v:textbox>
                  <w:txbxContent>
                    <w:p>
                      <w:pPr>
                        <w:spacing w:line="200" w:lineRule="exact"/>
                        <w:jc w:val="center"/>
                        <w:rPr>
                          <w:spacing w:val="-10"/>
                          <w:sz w:val="18"/>
                          <w:szCs w:val="18"/>
                        </w:rPr>
                      </w:pPr>
                      <w:r>
                        <w:rPr>
                          <w:rFonts w:hint="eastAsia"/>
                          <w:spacing w:val="-10"/>
                          <w:sz w:val="18"/>
                          <w:szCs w:val="18"/>
                        </w:rPr>
                        <w:t>出具《不良行为认定书通知书》</w:t>
                      </w:r>
                    </w:p>
                  </w:txbxContent>
                </v:textbox>
              </v:shape>
              <v:shape id="AutoShape 126" o:spid="_x0000_s1062" o:spt="32" type="#_x0000_t32" style="position:absolute;left:10277;top:4137;height:0;width:2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path arrowok="t"/>
                <v:fill on="f" focussize="0,0"/>
                <v:stroke/>
                <v:imagedata o:title=""/>
                <o:lock v:ext="edit"/>
              </v:shape>
            </v:group>
          </v:group>
        </w:pict>
      </w:r>
    </w:p>
    <w:p>
      <w:pPr>
        <w:spacing w:line="520" w:lineRule="exact"/>
        <w:ind w:firstLine="630" w:firstLineChars="300"/>
        <w:rPr>
          <w:rFonts w:ascii="仿宋_GB2312" w:eastAsia="仿宋_GB2312"/>
          <w:kern w:val="0"/>
          <w:szCs w:val="21"/>
        </w:rPr>
        <w:sectPr>
          <w:footerReference r:id="rId7" w:type="default"/>
          <w:pgSz w:w="16838" w:h="11906" w:orient="landscape"/>
          <w:pgMar w:top="2098" w:right="1474" w:bottom="1984" w:left="1587" w:header="0" w:footer="1474" w:gutter="0"/>
          <w:cols w:space="425" w:num="1"/>
          <w:docGrid w:type="lines" w:linePitch="312" w:charSpace="0"/>
        </w:sectPr>
      </w:pPr>
    </w:p>
    <w:p>
      <w:pPr>
        <w:pStyle w:val="20"/>
        <w:widowControl/>
        <w:spacing w:line="480" w:lineRule="auto"/>
        <w:ind w:right="42" w:firstLine="0" w:firstLineChars="0"/>
        <w:rPr>
          <w:rFonts w:ascii="黑体" w:hAnsi="黑体" w:eastAsia="黑体"/>
          <w:kern w:val="0"/>
          <w:sz w:val="32"/>
          <w:szCs w:val="32"/>
        </w:rPr>
      </w:pPr>
      <w:r>
        <w:rPr>
          <w:rFonts w:hint="eastAsia" w:ascii="黑体" w:hAnsi="黑体" w:eastAsia="黑体"/>
          <w:kern w:val="0"/>
          <w:sz w:val="32"/>
          <w:szCs w:val="32"/>
        </w:rPr>
        <w:t>附件6</w:t>
      </w:r>
    </w:p>
    <w:p>
      <w:pPr>
        <w:spacing w:line="560" w:lineRule="exact"/>
        <w:jc w:val="center"/>
        <w:rPr>
          <w:rFonts w:ascii="方正小标宋_GBK" w:hAnsi="宋体" w:eastAsia="方正小标宋_GBK"/>
          <w:sz w:val="36"/>
          <w:szCs w:val="36"/>
        </w:rPr>
      </w:pPr>
      <w:r>
        <w:rPr>
          <w:rFonts w:hint="eastAsia" w:ascii="方正小标宋_GBK" w:hAnsi="宋体" w:eastAsia="方正小标宋_GBK"/>
          <w:sz w:val="36"/>
          <w:szCs w:val="36"/>
        </w:rPr>
        <w:t>深圳市水务建设市场主体严重不良行为信息</w:t>
      </w:r>
    </w:p>
    <w:p>
      <w:pPr>
        <w:spacing w:line="560" w:lineRule="exact"/>
        <w:ind w:firstLine="720"/>
        <w:jc w:val="center"/>
        <w:rPr>
          <w:rFonts w:ascii="方正小标宋_GBK" w:hAnsi="宋体" w:eastAsia="方正小标宋_GBK"/>
          <w:sz w:val="36"/>
          <w:szCs w:val="36"/>
        </w:rPr>
      </w:pPr>
      <w:r>
        <w:rPr>
          <w:rFonts w:hint="eastAsia" w:ascii="方正小标宋_GBK" w:hAnsi="宋体" w:eastAsia="方正小标宋_GBK"/>
          <w:sz w:val="36"/>
          <w:szCs w:val="36"/>
        </w:rPr>
        <w:t>在招投标方面的应用细则</w:t>
      </w:r>
    </w:p>
    <w:p>
      <w:pPr>
        <w:spacing w:line="480" w:lineRule="exact"/>
        <w:ind w:firstLine="600" w:firstLineChars="200"/>
        <w:rPr>
          <w:rFonts w:ascii="仿宋_GB2312" w:hAnsi="宋体" w:eastAsia="仿宋_GB2312"/>
          <w:sz w:val="30"/>
          <w:szCs w:val="30"/>
        </w:rPr>
      </w:pPr>
    </w:p>
    <w:p>
      <w:pPr>
        <w:spacing w:line="480" w:lineRule="exact"/>
        <w:ind w:firstLine="600" w:firstLineChars="200"/>
        <w:rPr>
          <w:rFonts w:ascii="仿宋_GB2312" w:eastAsia="仿宋_GB2312"/>
          <w:sz w:val="30"/>
          <w:szCs w:val="30"/>
        </w:rPr>
      </w:pPr>
      <w:r>
        <w:rPr>
          <w:rFonts w:hint="eastAsia" w:ascii="仿宋_GB2312" w:hAnsi="黑体" w:eastAsia="仿宋_GB2312"/>
          <w:sz w:val="30"/>
          <w:szCs w:val="30"/>
        </w:rPr>
        <w:t>一、</w:t>
      </w:r>
      <w:r>
        <w:rPr>
          <w:rFonts w:hint="eastAsia" w:ascii="仿宋_GB2312" w:hAnsi="宋体" w:eastAsia="仿宋_GB2312"/>
          <w:sz w:val="30"/>
          <w:szCs w:val="30"/>
        </w:rPr>
        <w:t>因</w:t>
      </w:r>
      <w:r>
        <w:rPr>
          <w:rFonts w:hint="eastAsia" w:ascii="仿宋_GB2312" w:eastAsia="仿宋_GB2312"/>
          <w:sz w:val="30"/>
          <w:szCs w:val="30"/>
        </w:rPr>
        <w:t>违反安全生产、工程质量管理规定，导致事故发生而被记严重不良行为认定的：</w:t>
      </w:r>
    </w:p>
    <w:p>
      <w:pPr>
        <w:spacing w:line="460" w:lineRule="exact"/>
        <w:ind w:firstLine="600" w:firstLineChars="200"/>
        <w:rPr>
          <w:rFonts w:ascii="仿宋_GB2312" w:eastAsia="仿宋_GB2312"/>
          <w:sz w:val="30"/>
          <w:szCs w:val="30"/>
        </w:rPr>
      </w:pPr>
      <w:r>
        <w:rPr>
          <w:rFonts w:hint="eastAsia" w:ascii="仿宋_GB2312" w:eastAsia="仿宋_GB2312"/>
          <w:sz w:val="30"/>
          <w:szCs w:val="30"/>
        </w:rPr>
        <w:t>（1）对造成一般质量安全事故负有责任的市场主体，未造成人员死亡的，禁止其2个月内参加深圳市水务建设市场投标（含自行采购）活动；造成1人死亡的，禁止其3个月内参加深圳市水务建设市场投标（含自行采购）活动；造成2人死亡的，禁止其一年内参加深圳市水务建设市场投标（含自行采购）活动。</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对造成较大质量安全事故负有责任的市场主体，未造成人员死亡的，禁止其一年半内参加深圳市水务建设市场投标（含自行采购）活动；造成3-9人死亡的，禁止其二年内参加深圳市水务建设市场投标（含自行采购）活动。</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（3）对造成重特大质量安全事故负有责任的市场主体，禁止其五年内参加深圳市水务建设市场投标（含自行采购）活动。</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二、因</w:t>
      </w:r>
      <w:r>
        <w:rPr>
          <w:rFonts w:hint="eastAsia" w:ascii="仿宋_GB2312" w:hAnsi="宋体" w:eastAsia="仿宋_GB2312"/>
          <w:sz w:val="30"/>
          <w:szCs w:val="30"/>
        </w:rPr>
        <w:t>投标人以他人名义投标或者以其他方式弄虚作假，骗取中标</w:t>
      </w:r>
      <w:r>
        <w:rPr>
          <w:rFonts w:hint="eastAsia" w:ascii="仿宋_GB2312" w:eastAsia="仿宋_GB2312"/>
          <w:sz w:val="30"/>
          <w:szCs w:val="30"/>
        </w:rPr>
        <w:t>而被记严重不良行为认定的，拒绝其二年内参加深圳市水务建设市场投标（含自行采购）活动。</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三、因</w:t>
      </w:r>
      <w:r>
        <w:rPr>
          <w:rFonts w:hint="eastAsia" w:ascii="仿宋_GB2312" w:hAnsi="宋体" w:eastAsia="仿宋_GB2312"/>
          <w:sz w:val="30"/>
          <w:szCs w:val="30"/>
        </w:rPr>
        <w:t>相互串通投标或者与招标人串通投标的，以向招标人或</w:t>
      </w:r>
      <w:r>
        <w:rPr>
          <w:rFonts w:hint="eastAsia" w:ascii="仿宋_GB2312" w:hAnsi="宋体" w:eastAsia="仿宋_GB2312"/>
          <w:spacing w:val="-4"/>
          <w:sz w:val="30"/>
          <w:szCs w:val="30"/>
        </w:rPr>
        <w:t>者评标委员会成员行贿的手段谋取中标</w:t>
      </w:r>
      <w:r>
        <w:rPr>
          <w:rFonts w:hint="eastAsia" w:ascii="仿宋_GB2312" w:eastAsia="仿宋_GB2312"/>
          <w:spacing w:val="-4"/>
          <w:sz w:val="30"/>
          <w:szCs w:val="30"/>
        </w:rPr>
        <w:t>而被记严重不良行为认定的，拒绝其二年内参加深圳市水务建设市场投标（含自行采购）活动</w:t>
      </w:r>
      <w:r>
        <w:rPr>
          <w:rFonts w:hint="eastAsia" w:ascii="仿宋_GB2312" w:eastAsia="仿宋_GB2312"/>
          <w:sz w:val="30"/>
          <w:szCs w:val="30"/>
        </w:rPr>
        <w:t>。</w:t>
      </w:r>
    </w:p>
    <w:p>
      <w:pPr>
        <w:spacing w:line="480" w:lineRule="exact"/>
        <w:ind w:firstLine="600" w:firstLineChars="200"/>
      </w:pPr>
      <w:r>
        <w:rPr>
          <w:rFonts w:hint="eastAsia" w:ascii="仿宋_GB2312" w:eastAsia="仿宋_GB2312"/>
          <w:sz w:val="30"/>
          <w:szCs w:val="30"/>
        </w:rPr>
        <w:t xml:space="preserve"> 四、其他因一个年度内扣分值累计达40分而被认定严重不良行为的，</w:t>
      </w:r>
      <w:r>
        <w:rPr>
          <w:rFonts w:hint="eastAsia" w:ascii="仿宋_GB2312" w:hAnsi="宋体" w:eastAsia="仿宋_GB2312"/>
          <w:sz w:val="30"/>
          <w:szCs w:val="30"/>
        </w:rPr>
        <w:t>禁止</w:t>
      </w:r>
      <w:r>
        <w:rPr>
          <w:rFonts w:hint="eastAsia" w:ascii="仿宋_GB2312" w:eastAsia="仿宋_GB2312"/>
          <w:sz w:val="30"/>
          <w:szCs w:val="30"/>
        </w:rPr>
        <w:t>其一年内参加深圳市水务建设市场投标（含自行采购）活动。</w:t>
      </w:r>
      <w:bookmarkEnd w:id="0"/>
    </w:p>
    <w:sectPr>
      <w:headerReference r:id="rId8" w:type="default"/>
      <w:footerReference r:id="rId9" w:type="default"/>
      <w:footerReference r:id="rId10" w:type="even"/>
      <w:pgSz w:w="11906" w:h="16838"/>
      <w:pgMar w:top="2098" w:right="1474" w:bottom="1984" w:left="1587" w:header="0" w:footer="147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9</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38</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39</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olor w:val="FFFFFF"/>
        <w:sz w:val="28"/>
        <w:szCs w:val="28"/>
      </w:rPr>
    </w:pPr>
    <w:r>
      <w:rPr>
        <w:rStyle w:val="11"/>
        <w:rFonts w:hint="eastAsia" w:ascii="宋体" w:hAnsi="宋体"/>
        <w:color w:val="FFFFFF"/>
        <w:sz w:val="28"/>
        <w:szCs w:val="28"/>
      </w:rPr>
      <w:t>—</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40</w:t>
    </w:r>
    <w:r>
      <w:rPr>
        <w:rStyle w:val="11"/>
        <w:rFonts w:ascii="宋体" w:hAnsi="宋体"/>
        <w:sz w:val="28"/>
        <w:szCs w:val="28"/>
      </w:rPr>
      <w:fldChar w:fldCharType="end"/>
    </w:r>
    <w:r>
      <w:rPr>
        <w:rStyle w:val="11"/>
        <w:rFonts w:hint="eastAsia" w:ascii="宋体" w:hAnsi="宋体"/>
        <w:sz w:val="28"/>
        <w:szCs w:val="28"/>
      </w:rPr>
      <w:t xml:space="preserve"> —</w:t>
    </w:r>
    <w:r>
      <w:rPr>
        <w:rStyle w:val="11"/>
        <w:rFonts w:hint="eastAsia"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7E34"/>
    <w:rsid w:val="0040726F"/>
    <w:rsid w:val="005B7E34"/>
    <w:rsid w:val="008B3EF1"/>
    <w:rsid w:val="00AC1570"/>
    <w:rsid w:val="00F23EFB"/>
    <w:rsid w:val="6E52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2"/>
        <o:r id="V:Rule2" type="connector" idref="#AutoShape 96"/>
        <o:r id="V:Rule3" type="connector" idref="#AutoShape 97"/>
        <o:r id="V:Rule4" type="connector" idref="#AutoShape 99"/>
        <o:r id="V:Rule5" type="connector" idref="#AutoShape 100"/>
        <o:r id="V:Rule6" type="connector" idref="#AutoShape 105"/>
        <o:r id="V:Rule7" type="connector" idref="#AutoShape 107"/>
        <o:r id="V:Rule8" type="connector" idref="#AutoShape 108"/>
        <o:r id="V:Rule9" type="connector" idref="#AutoShape 109"/>
        <o:r id="V:Rule10" type="connector" idref="#AutoShape 110"/>
        <o:r id="V:Rule11" type="connector" idref="#AutoShape 124"/>
        <o:r id="V:Rule12" type="connector" idref="#AutoShape 1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23"/>
    <w:semiHidden/>
    <w:unhideWhenUsed/>
    <w:uiPriority w:val="99"/>
    <w:rPr>
      <w:rFonts w:ascii="宋体" w:hAnsi="Times New Roman" w:eastAsiaTheme="minorEastAsia" w:cstheme="minorBidi"/>
      <w:sz w:val="18"/>
      <w:szCs w:val="18"/>
    </w:rPr>
  </w:style>
  <w:style w:type="paragraph" w:styleId="4">
    <w:name w:val="Balloon Text"/>
    <w:basedOn w:val="1"/>
    <w:link w:val="18"/>
    <w:uiPriority w:val="0"/>
    <w:rPr>
      <w:rFonts w:ascii="Times New Roman" w:hAnsi="Times New Roman" w:eastAsiaTheme="minorEastAsia" w:cstheme="minorBidi"/>
      <w:sz w:val="18"/>
      <w:szCs w:val="18"/>
    </w:rPr>
  </w:style>
  <w:style w:type="paragraph" w:styleId="5">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2"/>
    <w:qFormat/>
    <w:uiPriority w:val="0"/>
    <w:pPr>
      <w:spacing w:before="240" w:after="60"/>
      <w:jc w:val="center"/>
      <w:outlineLvl w:val="0"/>
    </w:pPr>
    <w:rPr>
      <w:rFonts w:ascii="Cambria" w:hAnsi="Cambria"/>
      <w:b/>
      <w:bCs/>
      <w:sz w:val="32"/>
      <w:szCs w:val="32"/>
    </w:rPr>
  </w:style>
  <w:style w:type="character" w:styleId="11">
    <w:name w:val="page number"/>
    <w:basedOn w:val="10"/>
    <w:uiPriority w:val="0"/>
  </w:style>
  <w:style w:type="character" w:styleId="12">
    <w:name w:val="Hyperlink"/>
    <w:uiPriority w:val="0"/>
    <w:rPr>
      <w:color w:val="0000FF"/>
      <w:u w:val="single"/>
    </w:rPr>
  </w:style>
  <w:style w:type="character" w:customStyle="1" w:styleId="13">
    <w:name w:val="标题 1 Char"/>
    <w:basedOn w:val="10"/>
    <w:link w:val="2"/>
    <w:uiPriority w:val="0"/>
    <w:rPr>
      <w:rFonts w:ascii="Times New Roman" w:hAnsi="Times New Roman" w:eastAsia="宋体" w:cs="Times New Roman"/>
      <w:b/>
      <w:bCs/>
      <w:kern w:val="44"/>
      <w:sz w:val="44"/>
      <w:szCs w:val="44"/>
    </w:rPr>
  </w:style>
  <w:style w:type="character" w:customStyle="1" w:styleId="14">
    <w:name w:val="页脚 Char"/>
    <w:basedOn w:val="10"/>
    <w:link w:val="5"/>
    <w:uiPriority w:val="99"/>
    <w:rPr>
      <w:sz w:val="18"/>
      <w:szCs w:val="18"/>
    </w:rPr>
  </w:style>
  <w:style w:type="character" w:customStyle="1" w:styleId="15">
    <w:name w:val="页脚 Char1"/>
    <w:basedOn w:val="10"/>
    <w:semiHidden/>
    <w:qFormat/>
    <w:uiPriority w:val="99"/>
    <w:rPr>
      <w:rFonts w:ascii="Calibri" w:hAnsi="Calibri" w:eastAsia="宋体" w:cs="Times New Roman"/>
      <w:sz w:val="18"/>
      <w:szCs w:val="18"/>
    </w:rPr>
  </w:style>
  <w:style w:type="character" w:customStyle="1" w:styleId="16">
    <w:name w:val="页眉 Char"/>
    <w:basedOn w:val="10"/>
    <w:link w:val="6"/>
    <w:uiPriority w:val="0"/>
    <w:rPr>
      <w:sz w:val="18"/>
      <w:szCs w:val="18"/>
    </w:rPr>
  </w:style>
  <w:style w:type="character" w:customStyle="1" w:styleId="17">
    <w:name w:val="页眉 Char1"/>
    <w:basedOn w:val="10"/>
    <w:semiHidden/>
    <w:uiPriority w:val="99"/>
    <w:rPr>
      <w:rFonts w:ascii="Calibri" w:hAnsi="Calibri" w:eastAsia="宋体" w:cs="Times New Roman"/>
      <w:sz w:val="18"/>
      <w:szCs w:val="18"/>
    </w:rPr>
  </w:style>
  <w:style w:type="character" w:customStyle="1" w:styleId="18">
    <w:name w:val="批注框文本 Char"/>
    <w:basedOn w:val="10"/>
    <w:link w:val="4"/>
    <w:uiPriority w:val="0"/>
    <w:rPr>
      <w:rFonts w:ascii="Times New Roman" w:hAnsi="Times New Roman"/>
      <w:sz w:val="18"/>
      <w:szCs w:val="18"/>
    </w:rPr>
  </w:style>
  <w:style w:type="character" w:customStyle="1" w:styleId="19">
    <w:name w:val="批注框文本 Char1"/>
    <w:basedOn w:val="10"/>
    <w:semiHidden/>
    <w:uiPriority w:val="99"/>
    <w:rPr>
      <w:rFonts w:ascii="Calibri" w:hAnsi="Calibri" w:eastAsia="宋体" w:cs="Times New Roman"/>
      <w:sz w:val="18"/>
      <w:szCs w:val="18"/>
    </w:rPr>
  </w:style>
  <w:style w:type="paragraph" w:styleId="20">
    <w:name w:val="List Paragraph"/>
    <w:basedOn w:val="1"/>
    <w:qFormat/>
    <w:uiPriority w:val="0"/>
    <w:pPr>
      <w:ind w:firstLine="420" w:firstLineChars="200"/>
    </w:pPr>
    <w:rPr>
      <w:rFonts w:ascii="Times New Roman" w:hAnsi="Times New Roman"/>
      <w:szCs w:val="24"/>
    </w:rPr>
  </w:style>
  <w:style w:type="character" w:customStyle="1" w:styleId="21">
    <w:name w:val="t121"/>
    <w:uiPriority w:val="0"/>
    <w:rPr>
      <w:sz w:val="21"/>
      <w:szCs w:val="21"/>
    </w:rPr>
  </w:style>
  <w:style w:type="character" w:customStyle="1" w:styleId="22">
    <w:name w:val="标题 Char"/>
    <w:basedOn w:val="10"/>
    <w:link w:val="8"/>
    <w:uiPriority w:val="0"/>
    <w:rPr>
      <w:rFonts w:ascii="Cambria" w:hAnsi="Cambria" w:eastAsia="宋体" w:cs="Times New Roman"/>
      <w:b/>
      <w:bCs/>
      <w:sz w:val="32"/>
      <w:szCs w:val="32"/>
    </w:rPr>
  </w:style>
  <w:style w:type="character" w:customStyle="1" w:styleId="23">
    <w:name w:val="文档结构图 Char"/>
    <w:basedOn w:val="10"/>
    <w:link w:val="3"/>
    <w:semiHidden/>
    <w:uiPriority w:val="99"/>
    <w:rPr>
      <w:rFonts w:ascii="宋体" w:hAnsi="Times New Roman"/>
      <w:sz w:val="18"/>
      <w:szCs w:val="18"/>
    </w:rPr>
  </w:style>
  <w:style w:type="character" w:customStyle="1" w:styleId="24">
    <w:name w:val="文档结构图 Char1"/>
    <w:basedOn w:val="10"/>
    <w:semiHidden/>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8"/>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3194</Words>
  <Characters>18206</Characters>
  <Lines>151</Lines>
  <Paragraphs>42</Paragraphs>
  <TotalTime>0</TotalTime>
  <ScaleCrop>false</ScaleCrop>
  <LinksUpToDate>false</LinksUpToDate>
  <CharactersWithSpaces>21358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2017-05-05T06:19:00Z</dcterms:created>
  <dc:creator>龙剑军</dc:creator>
  <cp:lastModifiedBy>Chenbaby</cp:lastModifiedBy>
  <dcterms:modified xsi:type="dcterms:W3CDTF">2021-05-11T08:03:04Z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ECECD33163FA489489D210253CA76022</vt:lpwstr>
  </property>
</Properties>
</file>