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kern w:val="0"/>
          <w:sz w:val="36"/>
          <w:szCs w:val="36"/>
        </w:rPr>
      </w:pPr>
      <w:bookmarkStart w:id="0" w:name="_GoBack"/>
      <w:r>
        <w:rPr>
          <w:rFonts w:hint="eastAsia" w:ascii="Times New Roman" w:hAnsi="Times New Roman" w:eastAsia="宋体" w:cs="Times New Roman"/>
          <w:b/>
          <w:bCs/>
          <w:kern w:val="0"/>
          <w:sz w:val="36"/>
          <w:szCs w:val="36"/>
        </w:rPr>
        <w:t>农业灌溉用水定额：甘蔗</w:t>
      </w:r>
    </w:p>
    <w:bookmarkEnd w:id="0"/>
    <w:p>
      <w:pPr>
        <w:jc w:val="center"/>
        <w:rPr>
          <w:rFonts w:ascii="Times New Roman" w:hAnsi="Times New Roman" w:eastAsia="宋体" w:cs="Times New Roman"/>
          <w:b/>
          <w:bCs/>
          <w:kern w:val="0"/>
          <w:sz w:val="36"/>
          <w:szCs w:val="36"/>
        </w:rPr>
      </w:pP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一、适用范围</w:t>
      </w:r>
    </w:p>
    <w:p>
      <w:pPr>
        <w:spacing w:line="360" w:lineRule="auto"/>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本定额适用于甘蔗种植区开展农业用水总量配置、水资源论证、取水许可审批、节水评价和灌溉排水工程规划与设计等工作，也用于指导地方农业灌溉用水定额制定和修订。</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二、词语解释</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1.</w:t>
      </w:r>
      <w:r>
        <w:rPr>
          <w:rFonts w:hint="eastAsia" w:ascii="Times New Roman" w:hAnsi="Times New Roman" w:eastAsia="仿宋_GB2312" w:cs="Times New Roman"/>
          <w:bCs/>
          <w:sz w:val="30"/>
          <w:szCs w:val="30"/>
        </w:rPr>
        <w:t>灌溉用水定额是指在规定位置和规定水文年型下核定的某种作物在一个生育期内单位面积的灌溉用水量。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灌溉用水定额通用值是指根据灌区现状水平，在规定水文年型，满足区域用水供需平衡，某种作物在大中型灌区斗口、小型灌区渠首、井灌区井口位置的单位面积灌溉用水量。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3.</w:t>
      </w:r>
      <w:r>
        <w:rPr>
          <w:rFonts w:hint="eastAsia" w:ascii="Times New Roman" w:hAnsi="Times New Roman" w:eastAsia="仿宋_GB2312" w:cs="Times New Roman"/>
          <w:bCs/>
          <w:sz w:val="30"/>
          <w:szCs w:val="30"/>
        </w:rPr>
        <w:t>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4.</w:t>
      </w:r>
      <w:r>
        <w:rPr>
          <w:rFonts w:hint="eastAsia" w:ascii="Times New Roman" w:hAnsi="Times New Roman" w:eastAsia="仿宋_GB2312" w:cs="Times New Roman"/>
          <w:bCs/>
          <w:sz w:val="30"/>
          <w:szCs w:val="30"/>
        </w:rPr>
        <w:t>净灌溉用水定额是指在备耕期及作物全生育期内，未计入渠系输水和田间灌水损失的单位面积上的净灌溉水量。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5.</w:t>
      </w:r>
      <w:r>
        <w:rPr>
          <w:rFonts w:hint="eastAsia" w:ascii="Times New Roman" w:hAnsi="Times New Roman" w:eastAsia="仿宋_GB2312" w:cs="Times New Roman"/>
          <w:bCs/>
          <w:sz w:val="30"/>
          <w:szCs w:val="30"/>
        </w:rPr>
        <w:t>灌溉水利用系数是指灌入田间可被作物利用的水量与渠首引进的总水量的比值。</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6.</w:t>
      </w:r>
      <w:r>
        <w:rPr>
          <w:rFonts w:hint="eastAsia" w:ascii="Times New Roman" w:hAnsi="Times New Roman" w:eastAsia="仿宋_GB2312" w:cs="Times New Roman"/>
          <w:bCs/>
          <w:sz w:val="30"/>
          <w:szCs w:val="30"/>
        </w:rPr>
        <w:t>渠道防渗是指减少渠道水量渗漏损失的技术措施。</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7.</w:t>
      </w:r>
      <w:r>
        <w:rPr>
          <w:rFonts w:hint="eastAsia" w:ascii="Times New Roman" w:hAnsi="Times New Roman" w:eastAsia="仿宋_GB2312" w:cs="Times New Roman"/>
          <w:bCs/>
          <w:sz w:val="30"/>
          <w:szCs w:val="30"/>
        </w:rPr>
        <w:t>管道输水灌溉是指由水泵加压或自然落差形成的有压水流通过管道输送到田间给水装置，采用改进地面灌溉的方法，也称管灌。</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8.</w:t>
      </w:r>
      <w:r>
        <w:rPr>
          <w:rFonts w:hint="eastAsia" w:ascii="Times New Roman" w:hAnsi="Times New Roman" w:eastAsia="仿宋_GB2312" w:cs="Times New Roman"/>
          <w:bCs/>
          <w:sz w:val="30"/>
          <w:szCs w:val="30"/>
        </w:rPr>
        <w:t>喷灌是指利用专门设备将有压水流通过喷头喷洒成细小水滴，落到土壤表面进行灌溉的方法。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9.</w:t>
      </w:r>
      <w:r>
        <w:rPr>
          <w:rFonts w:hint="eastAsia" w:ascii="Times New Roman" w:hAnsi="Times New Roman" w:eastAsia="仿宋_GB2312" w:cs="Times New Roman"/>
          <w:bCs/>
          <w:sz w:val="30"/>
          <w:szCs w:val="30"/>
        </w:rPr>
        <w:t>微灌是指通过管道系统与安装在末级管道上的灌水器，将水和作物生长所需的养分以较小的流量，均匀、准确地直接输送到作物根部附近土壤的一种灌水方法。</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10.</w:t>
      </w:r>
      <w:r>
        <w:rPr>
          <w:rFonts w:hint="eastAsia" w:ascii="Times New Roman" w:hAnsi="Times New Roman" w:eastAsia="仿宋_GB2312" w:cs="Times New Roman"/>
          <w:bCs/>
          <w:sz w:val="30"/>
          <w:szCs w:val="30"/>
        </w:rPr>
        <w:t>地面灌溉是指采用沟、畦等地面设施，对作物进行灌水的方式。</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11.</w:t>
      </w:r>
      <w:r>
        <w:rPr>
          <w:rFonts w:hint="eastAsia" w:ascii="Times New Roman" w:hAnsi="Times New Roman" w:eastAsia="仿宋_GB2312" w:cs="Times New Roman"/>
          <w:bCs/>
          <w:sz w:val="30"/>
          <w:szCs w:val="30"/>
        </w:rPr>
        <w:t>改进地面灌溉是指改善灌溉均匀度和提高灌溉水利用率的沟、畦、格田灌溉技术。</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三、灌溉用水定额分区</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本定额分区分为二级。一级分区与水资源规划、灌溉规划分区相协调；二级分区与各省农业灌溉用水定额分区相结合。</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本定额一级分区为</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个分区，包括东南沿海区、西南区。</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本定额二级分区为</w:t>
      </w:r>
      <w:r>
        <w:rPr>
          <w:rFonts w:ascii="Times New Roman" w:hAnsi="Times New Roman" w:eastAsia="仿宋_GB2312" w:cs="Times New Roman"/>
          <w:sz w:val="30"/>
          <w:szCs w:val="30"/>
        </w:rPr>
        <w:t>24</w:t>
      </w:r>
      <w:r>
        <w:rPr>
          <w:rFonts w:hint="eastAsia" w:ascii="Times New Roman" w:hAnsi="Times New Roman" w:eastAsia="仿宋_GB2312" w:cs="Times New Roman"/>
          <w:sz w:val="30"/>
          <w:szCs w:val="30"/>
        </w:rPr>
        <w:t>个分区，包括</w:t>
      </w: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个省（自治区）。</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本定额分区所含区域情况详见附录。</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四、灌溉用水定额</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全国各分区甘蔗灌溉用水定额见附表。</w:t>
      </w:r>
    </w:p>
    <w:p>
      <w:pPr>
        <w:spacing w:line="360" w:lineRule="auto"/>
        <w:ind w:firstLine="600" w:firstLineChars="200"/>
        <w:jc w:val="left"/>
        <w:rPr>
          <w:rFonts w:ascii="Times New Roman" w:hAnsi="Times New Roman" w:eastAsia="黑体" w:cs="Times New Roman"/>
          <w:bCs/>
          <w:sz w:val="30"/>
          <w:szCs w:val="30"/>
        </w:rPr>
      </w:pPr>
      <w:r>
        <w:rPr>
          <w:rFonts w:hint="eastAsia" w:ascii="Times New Roman" w:hAnsi="Times New Roman" w:eastAsia="黑体" w:cs="Times New Roman"/>
          <w:bCs/>
          <w:sz w:val="30"/>
          <w:szCs w:val="30"/>
        </w:rPr>
        <w:t>五、计算方法</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灌溉用水定额通用值由净用水定额和现状大中型灌区斗口、小型灌区渠首、井口的灌溉水利用系数计算确定。</w:t>
      </w:r>
    </w:p>
    <w:p>
      <w:pPr>
        <w:rPr>
          <w:rFonts w:ascii="Times New Roman" w:hAnsi="Times New Roman" w:eastAsia="仿宋_GB2312" w:cs="Times New Roman"/>
          <w:i/>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通用</m:t>
              </m:r>
              <m:ctrlPr>
                <w:rPr>
                  <w:rFonts w:ascii="Times New Roman" w:hAnsi="Times New Roman" w:eastAsia="仿宋_GB2312" w:cs="Times New Roman"/>
                  <w:i/>
                  <w:iCs/>
                  <w:sz w:val="30"/>
                  <w:szCs w:val="30"/>
                </w:rPr>
              </m:ctrlPr>
            </m:sub>
          </m:sSub>
          <m:r>
            <w:rPr>
              <w:rFonts w:ascii="Times New Roman" w:hAnsi="Times New Roman" w:eastAsia="仿宋_GB2312" w:cs="Times New Roman"/>
              <w:sz w:val="30"/>
              <w:szCs w:val="30"/>
            </w:rPr>
            <m:t>=</m:t>
          </m:r>
          <m:f>
            <m:fPr>
              <m:type m:val="lin"/>
              <m:ctrlPr>
                <w:rPr>
                  <w:rFonts w:ascii="Times New Roman" w:hAnsi="Times New Roman" w:eastAsia="仿宋_GB2312" w:cs="Times New Roman"/>
                  <w:i/>
                  <w:iCs/>
                  <w:sz w:val="30"/>
                  <w:szCs w:val="30"/>
                </w:rPr>
              </m:ctrlPr>
            </m:fPr>
            <m:num>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ctrlPr>
                <w:rPr>
                  <w:rFonts w:ascii="Times New Roman" w:hAnsi="Times New Roman" w:eastAsia="仿宋_GB2312" w:cs="Times New Roman"/>
                  <w:i/>
                  <w:iCs/>
                  <w:sz w:val="30"/>
                  <w:szCs w:val="30"/>
                </w:rPr>
              </m:ctrlPr>
            </m:num>
            <m:den>
              <m:sSub>
                <m:sSubPr>
                  <m:ctrlPr>
                    <w:rPr>
                      <w:rFonts w:ascii="Times New Roman" w:hAnsi="Times New Roman" w:eastAsia="仿宋_GB2312" w:cs="Times New Roman"/>
                      <w:i/>
                      <w:iCs/>
                      <w:sz w:val="30"/>
                      <w:szCs w:val="30"/>
                    </w:rPr>
                  </m:ctrlPr>
                </m:sSubPr>
                <m:e>
                  <m:r>
                    <w:rPr>
                      <w:rFonts w:ascii="Cambria Math" w:hAnsi="Cambria Math" w:eastAsia="仿宋_GB2312" w:cs="Times New Roman"/>
                      <w:sz w:val="30"/>
                      <w:szCs w:val="30"/>
                    </w:rPr>
                    <m:t>η</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斗</m:t>
                  </m:r>
                  <m:ctrlPr>
                    <w:rPr>
                      <w:rFonts w:ascii="Times New Roman" w:hAnsi="Times New Roman" w:eastAsia="仿宋_GB2312" w:cs="Times New Roman"/>
                      <w:i/>
                      <w:iCs/>
                      <w:sz w:val="30"/>
                      <w:szCs w:val="30"/>
                    </w:rPr>
                  </m:ctrlPr>
                </m:sub>
              </m:sSub>
              <m:ctrlPr>
                <w:rPr>
                  <w:rFonts w:ascii="Times New Roman" w:hAnsi="Times New Roman" w:eastAsia="仿宋_GB2312" w:cs="Times New Roman"/>
                  <w:i/>
                  <w:iCs/>
                  <w:sz w:val="30"/>
                  <w:szCs w:val="30"/>
                </w:rPr>
              </m:ctrlPr>
            </m:den>
          </m:f>
        </m:oMath>
      </m:oMathPara>
    </w:p>
    <w:p>
      <w:pPr>
        <w:ind w:firstLine="708" w:firstLineChars="236"/>
        <w:rPr>
          <w:rFonts w:ascii="Times New Roman" w:hAnsi="Times New Roman" w:eastAsia="仿宋_GB2312" w:cs="Times New Roman"/>
          <w:iCs/>
          <w:sz w:val="30"/>
          <w:szCs w:val="30"/>
        </w:rPr>
      </w:pPr>
      <w:r>
        <w:rPr>
          <w:rFonts w:hint="eastAsia" w:ascii="Times New Roman" w:hAnsi="Times New Roman" w:eastAsia="仿宋_GB2312" w:cs="Times New Roman"/>
          <w:iCs/>
          <w:sz w:val="30"/>
          <w:szCs w:val="30"/>
        </w:rPr>
        <w:t>式中：</w:t>
      </w:r>
    </w:p>
    <w:p>
      <w:pPr>
        <w:ind w:firstLine="993" w:firstLineChars="331"/>
        <w:rPr>
          <w:rFonts w:ascii="Times New Roman" w:hAnsi="Times New Roman" w:eastAsia="仿宋_GB2312" w:cs="Times New Roman"/>
          <w:iCs/>
          <w:sz w:val="30"/>
          <w:szCs w:val="30"/>
        </w:rPr>
      </w:pPr>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通用</m:t>
            </m:r>
            <m:ctrlPr>
              <w:rPr>
                <w:rFonts w:ascii="Times New Roman" w:hAnsi="Times New Roman" w:eastAsia="仿宋_GB2312" w:cs="Times New Roman"/>
                <w:i/>
                <w:iCs/>
                <w:sz w:val="30"/>
                <w:szCs w:val="30"/>
              </w:rPr>
            </m:ctrlPr>
          </m:sub>
        </m:sSub>
      </m:oMath>
      <w:r>
        <w:rPr>
          <w:rFonts w:ascii="Times New Roman" w:hAnsi="Times New Roman" w:cs="Times New Roman"/>
          <w:szCs w:val="30"/>
        </w:rPr>
        <w:t>——</w:t>
      </w:r>
      <w:r>
        <w:rPr>
          <w:rFonts w:hint="eastAsia" w:ascii="Times New Roman" w:hAnsi="Times New Roman" w:eastAsia="仿宋_GB2312" w:cs="Times New Roman"/>
          <w:sz w:val="30"/>
          <w:szCs w:val="30"/>
        </w:rPr>
        <w:t>灌溉</w:t>
      </w:r>
      <w:r>
        <w:rPr>
          <w:rFonts w:hint="eastAsia" w:ascii="Times New Roman" w:hAnsi="Times New Roman" w:eastAsia="仿宋_GB2312" w:cs="Times New Roman"/>
          <w:iCs/>
          <w:sz w:val="30"/>
          <w:szCs w:val="30"/>
        </w:rPr>
        <w:t>用水定额通用值，单位为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r>
              <w:rPr>
                <w:rFonts w:ascii="Times New Roman" w:hAnsi="Times New Roman" w:eastAsia="仿宋_GB2312" w:cs="Times New Roman"/>
                <w:sz w:val="30"/>
                <w:szCs w:val="30"/>
              </w:rPr>
              <m:t xml:space="preserve">  </m:t>
            </m:r>
            <m:ctrlPr>
              <w:rPr>
                <w:rFonts w:ascii="Times New Roman" w:hAnsi="Times New Roman" w:eastAsia="仿宋_GB2312" w:cs="Times New Roman"/>
                <w:i/>
                <w:iCs/>
                <w:sz w:val="30"/>
                <w:szCs w:val="30"/>
              </w:rPr>
            </m:ctrlPr>
          </m:sub>
        </m:sSub>
      </m:oMath>
      <w:r>
        <w:rPr>
          <w:rFonts w:ascii="Times New Roman" w:hAnsi="Times New Roman" w:cs="Times New Roman"/>
          <w:szCs w:val="30"/>
        </w:rPr>
        <w:t>——</w:t>
      </w:r>
      <w:r>
        <w:rPr>
          <w:rFonts w:hint="eastAsia" w:ascii="Times New Roman" w:hAnsi="Times New Roman" w:eastAsia="仿宋_GB2312" w:cs="Times New Roman"/>
          <w:iCs/>
          <w:sz w:val="30"/>
          <w:szCs w:val="30"/>
        </w:rPr>
        <w:t>净用水定额，单位为</w:t>
      </w:r>
      <w:r>
        <w:rPr>
          <w:rFonts w:ascii="Times New Roman" w:hAnsi="Times New Roman" w:eastAsia="仿宋_GB2312" w:cs="Times New Roman"/>
          <w:iCs/>
          <w:sz w:val="30"/>
          <w:szCs w:val="30"/>
        </w:rPr>
        <w:t>m</w:t>
      </w:r>
      <w:r>
        <w:rPr>
          <w:rFonts w:ascii="Times New Roman" w:hAnsi="Times New Roman" w:eastAsia="仿宋_GB2312" w:cs="Times New Roman"/>
          <w:iCs/>
          <w:sz w:val="30"/>
          <w:szCs w:val="30"/>
          <w:vertAlign w:val="superscript"/>
        </w:rPr>
        <w:t>3</w:t>
      </w:r>
      <w:r>
        <w:rPr>
          <w:rFonts w:ascii="Times New Roman" w:hAnsi="Times New Roman" w:eastAsia="仿宋_GB2312" w:cs="Times New Roman"/>
          <w:iCs/>
          <w:sz w:val="30"/>
          <w:szCs w:val="30"/>
        </w:rPr>
        <w:t>/</w:t>
      </w:r>
      <w:r>
        <w:rPr>
          <w:rFonts w:hint="eastAsia" w:ascii="Times New Roman" w:hAnsi="Times New Roman" w:eastAsia="仿宋_GB2312" w:cs="Times New Roman"/>
          <w:iCs/>
          <w:sz w:val="30"/>
          <w:szCs w:val="30"/>
        </w:rPr>
        <w:t>亩；</w:t>
      </w:r>
    </w:p>
    <w:p>
      <w:pPr>
        <w:ind w:firstLine="993" w:firstLineChars="331"/>
        <w:rPr>
          <w:rFonts w:ascii="Times New Roman" w:hAnsi="Times New Roman" w:eastAsia="仿宋_GB2312" w:cs="Times New Roman"/>
          <w:iCs/>
          <w:sz w:val="30"/>
          <w:szCs w:val="30"/>
        </w:rPr>
      </w:pPr>
      <m:oMath>
        <m:sSub>
          <m:sSubPr>
            <m:ctrlPr>
              <w:rPr>
                <w:rFonts w:ascii="Times New Roman" w:hAnsi="Times New Roman" w:eastAsia="仿宋_GB2312" w:cs="Times New Roman"/>
                <w:i/>
                <w:iCs/>
                <w:sz w:val="30"/>
                <w:szCs w:val="30"/>
              </w:rPr>
            </m:ctrlPr>
          </m:sSubPr>
          <m:e>
            <m:r>
              <w:rPr>
                <w:rFonts w:ascii="Cambria Math" w:hAnsi="Cambria Math" w:eastAsia="仿宋_GB2312" w:cs="Times New Roman"/>
                <w:sz w:val="30"/>
                <w:szCs w:val="30"/>
              </w:rPr>
              <m:t>η</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斗</m:t>
            </m:r>
            <m:ctrlPr>
              <w:rPr>
                <w:rFonts w:ascii="Times New Roman" w:hAnsi="Times New Roman" w:eastAsia="仿宋_GB2312" w:cs="Times New Roman"/>
                <w:i/>
                <w:iCs/>
                <w:sz w:val="30"/>
                <w:szCs w:val="30"/>
              </w:rPr>
            </m:ctrlPr>
          </m:sub>
        </m:sSub>
        <m:r>
          <w:rPr>
            <w:rFonts w:ascii="Times New Roman" w:hAnsi="Times New Roman" w:eastAsia="仿宋_GB2312" w:cs="Times New Roman"/>
            <w:sz w:val="30"/>
            <w:szCs w:val="30"/>
          </w:rPr>
          <m:t xml:space="preserve"> </m:t>
        </m:r>
      </m:oMath>
      <w:r>
        <w:rPr>
          <w:rFonts w:ascii="Times New Roman" w:hAnsi="Times New Roman" w:cs="Times New Roman"/>
          <w:sz w:val="30"/>
          <w:szCs w:val="30"/>
        </w:rPr>
        <w:t xml:space="preserve"> </w:t>
      </w:r>
      <w:r>
        <w:rPr>
          <w:rFonts w:ascii="Times New Roman" w:hAnsi="Times New Roman" w:cs="Times New Roman"/>
          <w:szCs w:val="30"/>
        </w:rPr>
        <w:t>——</w:t>
      </w:r>
      <w:r>
        <w:rPr>
          <w:rFonts w:hint="eastAsia" w:ascii="Times New Roman" w:hAnsi="Times New Roman" w:eastAsia="仿宋_GB2312" w:cs="Times New Roman"/>
          <w:iCs/>
          <w:sz w:val="30"/>
          <w:szCs w:val="30"/>
        </w:rPr>
        <w:t>按大中型灌区现状斗口以下灌溉水利用系数、地表水小型灌区或井灌区现状灌溉水利用系数进行综合确定；如果没有大中型灌区斗口以下灌溉水利用系数，可参照地表水小型灌区现状灌溉水利用系数进行综合确定。</w:t>
      </w:r>
    </w:p>
    <w:p>
      <w:pPr>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灌溉用水定额先进值由净用水定额和《节水灌溉工程技术标准》规定相应节水灌溉技术的灌溉水利用系数最低值计算确定。</w:t>
      </w:r>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1</w:t>
      </w:r>
      <w:r>
        <w:rPr>
          <w:rFonts w:hint="eastAsia" w:ascii="Times New Roman" w:hAnsi="Times New Roman" w:eastAsia="仿宋_GB2312" w:cs="Times New Roman"/>
          <w:bCs/>
          <w:sz w:val="30"/>
          <w:szCs w:val="30"/>
        </w:rPr>
        <w:t>）渠道防渗输水灌溉方式下用水定额</w:t>
      </w:r>
    </w:p>
    <w:p>
      <w:pPr>
        <w:rPr>
          <w:rFonts w:ascii="Times New Roman" w:hAnsi="Times New Roman" w:eastAsia="仿宋_GB2312" w:cs="Times New Roman"/>
          <w:sz w:val="30"/>
          <w:szCs w:val="30"/>
        </w:rPr>
      </w:pPr>
      <m:oMathPara>
        <m:oMath>
          <m:sSub>
            <m:sSubPr>
              <m:ctrlPr>
                <w:rPr>
                  <w:rFonts w:ascii="Times New Roman" w:hAnsi="Times New Roman" w:eastAsia="仿宋_GB2312" w:cs="Times New Roman"/>
                  <w:i/>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sz w:val="30"/>
                  <w:szCs w:val="30"/>
                </w:rPr>
              </m:ctrlPr>
            </m:e>
            <m:sub>
              <m:r>
                <w:rPr>
                  <w:rFonts w:hint="eastAsia" w:ascii="Times New Roman" w:hAnsi="Times New Roman" w:eastAsia="仿宋_GB2312" w:cs="Times New Roman"/>
                  <w:sz w:val="30"/>
                  <w:szCs w:val="30"/>
                </w:rPr>
                <m:t>渠道防渗</m:t>
              </m:r>
              <m:ctrlPr>
                <w:rPr>
                  <w:rFonts w:ascii="Times New Roman" w:hAnsi="Times New Roman" w:eastAsia="仿宋_GB2312" w:cs="Times New Roman"/>
                  <w:i/>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sz w:val="30"/>
                  <w:szCs w:val="30"/>
                </w:rPr>
              </m:ctrlPr>
            </m:fPr>
            <m:num>
              <m:sSub>
                <m:sSubPr>
                  <m:ctrlPr>
                    <w:rPr>
                      <w:rFonts w:ascii="Times New Roman" w:hAnsi="Times New Roman" w:eastAsia="仿宋_GB2312" w:cs="Times New Roman"/>
                      <w:i/>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sz w:val="30"/>
                      <w:szCs w:val="30"/>
                    </w:rPr>
                  </m:ctrlPr>
                </m:sub>
              </m:sSub>
              <m:ctrlPr>
                <w:rPr>
                  <w:rFonts w:ascii="Times New Roman" w:hAnsi="Times New Roman" w:eastAsia="仿宋_GB2312" w:cs="Times New Roman"/>
                  <w:sz w:val="30"/>
                  <w:szCs w:val="30"/>
                </w:rPr>
              </m:ctrlPr>
            </m:num>
            <m:den>
              <m:r>
                <m:rPr>
                  <m:sty m:val="p"/>
                </m:rPr>
                <w:rPr>
                  <w:rFonts w:ascii="Times New Roman" w:hAnsi="Times New Roman" w:eastAsia="仿宋_GB2312" w:cs="Times New Roman"/>
                  <w:sz w:val="30"/>
                  <w:szCs w:val="30"/>
                </w:rPr>
                <m:t>0.70</m:t>
              </m:r>
              <m:ctrlPr>
                <w:rPr>
                  <w:rFonts w:ascii="Times New Roman" w:hAnsi="Times New Roman" w:eastAsia="仿宋_GB2312" w:cs="Times New Roman"/>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2</w:t>
      </w:r>
      <w:r>
        <w:rPr>
          <w:rFonts w:hint="eastAsia" w:ascii="Times New Roman" w:hAnsi="Times New Roman" w:eastAsia="仿宋_GB2312" w:cs="Times New Roman"/>
          <w:bCs/>
          <w:sz w:val="30"/>
          <w:szCs w:val="30"/>
        </w:rPr>
        <w:t>）管道输水灌溉方式下用水定额</w:t>
      </w:r>
    </w:p>
    <w:p>
      <w:pPr>
        <w:rPr>
          <w:rFonts w:ascii="Times New Roman" w:hAnsi="Times New Roman" w:eastAsia="仿宋_GB2312" w:cs="Times New Roman"/>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管灌</m:t>
              </m:r>
              <m:ctrlPr>
                <w:rPr>
                  <w:rFonts w:ascii="Times New Roman" w:hAnsi="Times New Roman" w:eastAsia="仿宋_GB2312" w:cs="Times New Roman"/>
                  <w:i/>
                  <w:iCs/>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iCs/>
                  <w:sz w:val="30"/>
                  <w:szCs w:val="30"/>
                </w:rPr>
              </m:ctrlPr>
            </m:fPr>
            <m:num>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ctrlPr>
                <w:rPr>
                  <w:rFonts w:ascii="Times New Roman" w:hAnsi="Times New Roman" w:eastAsia="仿宋_GB2312" w:cs="Times New Roman"/>
                  <w:iCs/>
                  <w:sz w:val="30"/>
                  <w:szCs w:val="30"/>
                </w:rPr>
              </m:ctrlPr>
            </m:num>
            <m:den>
              <m:r>
                <m:rPr>
                  <m:sty m:val="p"/>
                </m:rPr>
                <w:rPr>
                  <w:rFonts w:ascii="Times New Roman" w:hAnsi="Times New Roman" w:eastAsia="仿宋_GB2312" w:cs="Times New Roman"/>
                  <w:sz w:val="30"/>
                  <w:szCs w:val="30"/>
                </w:rPr>
                <m:t>0.80</m:t>
              </m:r>
              <m:ctrlPr>
                <w:rPr>
                  <w:rFonts w:ascii="Times New Roman"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3</w:t>
      </w:r>
      <w:r>
        <w:rPr>
          <w:rFonts w:hint="eastAsia" w:ascii="Times New Roman" w:hAnsi="Times New Roman" w:eastAsia="仿宋_GB2312" w:cs="Times New Roman"/>
          <w:bCs/>
          <w:sz w:val="30"/>
          <w:szCs w:val="30"/>
        </w:rPr>
        <w:t>）喷灌用水定额</w:t>
      </w:r>
    </w:p>
    <w:p>
      <w:pPr>
        <w:rPr>
          <w:rFonts w:ascii="Times New Roman" w:hAnsi="Times New Roman" w:eastAsia="仿宋_GB2312" w:cs="Times New Roman"/>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喷灌</m:t>
              </m:r>
              <m:ctrlPr>
                <w:rPr>
                  <w:rFonts w:ascii="Times New Roman" w:hAnsi="Times New Roman" w:eastAsia="仿宋_GB2312" w:cs="Times New Roman"/>
                  <w:i/>
                  <w:iCs/>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iCs/>
                  <w:sz w:val="30"/>
                  <w:szCs w:val="30"/>
                </w:rPr>
              </m:ctrlPr>
            </m:fPr>
            <m:num>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ctrlPr>
                <w:rPr>
                  <w:rFonts w:ascii="Times New Roman" w:hAnsi="Times New Roman" w:eastAsia="仿宋_GB2312" w:cs="Times New Roman"/>
                  <w:iCs/>
                  <w:sz w:val="30"/>
                  <w:szCs w:val="30"/>
                </w:rPr>
              </m:ctrlPr>
            </m:num>
            <m:den>
              <m:r>
                <m:rPr>
                  <m:sty m:val="p"/>
                </m:rPr>
                <w:rPr>
                  <w:rFonts w:ascii="Times New Roman" w:hAnsi="Times New Roman" w:eastAsia="仿宋_GB2312" w:cs="Times New Roman"/>
                  <w:sz w:val="30"/>
                  <w:szCs w:val="30"/>
                </w:rPr>
                <m:t>0.80</m:t>
              </m:r>
              <m:ctrlPr>
                <w:rPr>
                  <w:rFonts w:ascii="Times New Roman"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r>
        <w:rPr>
          <w:rFonts w:hint="eastAsia" w:ascii="Times New Roman" w:hAnsi="Times New Roman" w:eastAsia="仿宋_GB2312" w:cs="Times New Roman"/>
          <w:bCs/>
          <w:sz w:val="30"/>
          <w:szCs w:val="30"/>
        </w:rPr>
        <w:t>（</w:t>
      </w:r>
      <w:r>
        <w:rPr>
          <w:rFonts w:ascii="Times New Roman" w:hAnsi="Times New Roman" w:eastAsia="仿宋_GB2312" w:cs="Times New Roman"/>
          <w:bCs/>
          <w:sz w:val="30"/>
          <w:szCs w:val="30"/>
        </w:rPr>
        <w:t>4</w:t>
      </w:r>
      <w:r>
        <w:rPr>
          <w:rFonts w:hint="eastAsia" w:ascii="Times New Roman" w:hAnsi="Times New Roman" w:eastAsia="仿宋_GB2312" w:cs="Times New Roman"/>
          <w:bCs/>
          <w:sz w:val="30"/>
          <w:szCs w:val="30"/>
        </w:rPr>
        <w:t>）微灌用水定额</w:t>
      </w:r>
    </w:p>
    <w:p>
      <w:pPr>
        <w:rPr>
          <w:rFonts w:ascii="Times New Roman" w:hAnsi="Times New Roman" w:eastAsia="仿宋_GB2312" w:cs="Times New Roman"/>
          <w:iCs/>
          <w:sz w:val="30"/>
          <w:szCs w:val="30"/>
        </w:rPr>
      </w:pPr>
      <m:oMathPara>
        <m:oMath>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微灌</m:t>
              </m:r>
              <m:ctrlPr>
                <w:rPr>
                  <w:rFonts w:ascii="Times New Roman" w:hAnsi="Times New Roman" w:eastAsia="仿宋_GB2312" w:cs="Times New Roman"/>
                  <w:i/>
                  <w:iCs/>
                  <w:sz w:val="30"/>
                  <w:szCs w:val="30"/>
                </w:rPr>
              </m:ctrlPr>
            </m:sub>
          </m:sSub>
          <m:r>
            <m:rPr>
              <m:sty m:val="p"/>
            </m:rPr>
            <w:rPr>
              <w:rFonts w:ascii="Times New Roman" w:hAnsi="Times New Roman" w:eastAsia="仿宋_GB2312" w:cs="Times New Roman"/>
              <w:sz w:val="30"/>
              <w:szCs w:val="30"/>
            </w:rPr>
            <m:t>=</m:t>
          </m:r>
          <m:f>
            <m:fPr>
              <m:type m:val="lin"/>
              <m:ctrlPr>
                <w:rPr>
                  <w:rFonts w:ascii="Times New Roman" w:hAnsi="Times New Roman" w:eastAsia="仿宋_GB2312" w:cs="Times New Roman"/>
                  <w:iCs/>
                  <w:sz w:val="30"/>
                  <w:szCs w:val="30"/>
                </w:rPr>
              </m:ctrlPr>
            </m:fPr>
            <m:num>
              <m:sSub>
                <m:sSubPr>
                  <m:ctrlPr>
                    <w:rPr>
                      <w:rFonts w:ascii="Times New Roman" w:hAnsi="Times New Roman" w:eastAsia="仿宋_GB2312" w:cs="Times New Roman"/>
                      <w:i/>
                      <w:iCs/>
                      <w:sz w:val="30"/>
                      <w:szCs w:val="30"/>
                    </w:rPr>
                  </m:ctrlPr>
                </m:sSubPr>
                <m:e>
                  <m:r>
                    <w:rPr>
                      <w:rFonts w:ascii="Cambria Math" w:hAnsi="Times New Roman" w:eastAsia="仿宋_GB2312" w:cs="Times New Roman"/>
                      <w:sz w:val="30"/>
                      <w:szCs w:val="30"/>
                    </w:rPr>
                    <m:t>m</m:t>
                  </m:r>
                  <m:ctrlPr>
                    <w:rPr>
                      <w:rFonts w:ascii="Times New Roman" w:hAnsi="Times New Roman" w:eastAsia="仿宋_GB2312" w:cs="Times New Roman"/>
                      <w:i/>
                      <w:iCs/>
                      <w:sz w:val="30"/>
                      <w:szCs w:val="30"/>
                    </w:rPr>
                  </m:ctrlPr>
                </m:e>
                <m:sub>
                  <m:r>
                    <w:rPr>
                      <w:rFonts w:hint="eastAsia" w:ascii="Times New Roman" w:hAnsi="Times New Roman" w:eastAsia="仿宋_GB2312" w:cs="Times New Roman"/>
                      <w:sz w:val="30"/>
                      <w:szCs w:val="30"/>
                    </w:rPr>
                    <m:t>净</m:t>
                  </m:r>
                  <m:ctrlPr>
                    <w:rPr>
                      <w:rFonts w:ascii="Times New Roman" w:hAnsi="Times New Roman" w:eastAsia="仿宋_GB2312" w:cs="Times New Roman"/>
                      <w:i/>
                      <w:iCs/>
                      <w:sz w:val="30"/>
                      <w:szCs w:val="30"/>
                    </w:rPr>
                  </m:ctrlPr>
                </m:sub>
              </m:sSub>
              <m:ctrlPr>
                <w:rPr>
                  <w:rFonts w:ascii="Times New Roman" w:hAnsi="Times New Roman" w:eastAsia="仿宋_GB2312" w:cs="Times New Roman"/>
                  <w:iCs/>
                  <w:sz w:val="30"/>
                  <w:szCs w:val="30"/>
                </w:rPr>
              </m:ctrlPr>
            </m:num>
            <m:den>
              <m:r>
                <m:rPr>
                  <m:sty m:val="p"/>
                </m:rPr>
                <w:rPr>
                  <w:rFonts w:ascii="Times New Roman" w:hAnsi="Times New Roman" w:eastAsia="仿宋_GB2312" w:cs="Times New Roman"/>
                  <w:sz w:val="30"/>
                  <w:szCs w:val="30"/>
                </w:rPr>
                <m:t>0.85</m:t>
              </m:r>
              <m:ctrlPr>
                <w:rPr>
                  <w:rFonts w:ascii="Times New Roman" w:hAnsi="Times New Roman" w:eastAsia="仿宋_GB2312" w:cs="Times New Roman"/>
                  <w:iCs/>
                  <w:sz w:val="30"/>
                  <w:szCs w:val="30"/>
                </w:rPr>
              </m:ctrlPr>
            </m:den>
          </m:f>
        </m:oMath>
      </m:oMathPara>
    </w:p>
    <w:p>
      <w:pPr>
        <w:ind w:firstLine="600" w:firstLineChars="200"/>
        <w:rPr>
          <w:rFonts w:ascii="Times New Roman" w:hAnsi="Times New Roman" w:eastAsia="仿宋_GB2312" w:cs="Times New Roman"/>
          <w:bCs/>
          <w:sz w:val="30"/>
          <w:szCs w:val="30"/>
        </w:rPr>
      </w:pPr>
    </w:p>
    <w:p>
      <w:pPr>
        <w:adjustRightInd w:val="0"/>
        <w:snapToGrid w:val="0"/>
        <w:spacing w:line="360" w:lineRule="auto"/>
        <w:ind w:firstLine="600" w:firstLineChars="200"/>
        <w:jc w:val="left"/>
        <w:rPr>
          <w:rFonts w:ascii="Times New Roman" w:hAnsi="Times New Roman" w:eastAsia="仿宋_GB2312" w:cs="Times New Roman"/>
          <w:bCs/>
          <w:sz w:val="30"/>
          <w:szCs w:val="30"/>
        </w:rPr>
        <w:sectPr>
          <w:footerReference r:id="rId3" w:type="default"/>
          <w:pgSz w:w="11906" w:h="16838"/>
          <w:pgMar w:top="1440" w:right="1800" w:bottom="1440" w:left="1800" w:header="851" w:footer="992" w:gutter="0"/>
          <w:cols w:space="425" w:num="1"/>
          <w:docGrid w:type="lines" w:linePitch="312" w:charSpace="0"/>
        </w:sect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全国甘蔗灌溉用水定额表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3992" w:type="dxa"/>
        <w:tblInd w:w="0" w:type="dxa"/>
        <w:tblLayout w:type="fixed"/>
        <w:tblCellMar>
          <w:top w:w="0" w:type="dxa"/>
          <w:left w:w="108" w:type="dxa"/>
          <w:bottom w:w="0" w:type="dxa"/>
          <w:right w:w="108" w:type="dxa"/>
        </w:tblCellMar>
      </w:tblPr>
      <w:tblGrid>
        <w:gridCol w:w="1357"/>
        <w:gridCol w:w="943"/>
        <w:gridCol w:w="4181"/>
        <w:gridCol w:w="1013"/>
        <w:gridCol w:w="753"/>
        <w:gridCol w:w="753"/>
        <w:gridCol w:w="646"/>
        <w:gridCol w:w="649"/>
        <w:gridCol w:w="873"/>
        <w:gridCol w:w="731"/>
        <w:gridCol w:w="731"/>
        <w:gridCol w:w="646"/>
        <w:gridCol w:w="716"/>
      </w:tblGrid>
      <w:tr>
        <w:tblPrEx>
          <w:tblLayout w:type="fixed"/>
          <w:tblCellMar>
            <w:top w:w="0" w:type="dxa"/>
            <w:left w:w="108" w:type="dxa"/>
            <w:bottom w:w="0" w:type="dxa"/>
            <w:right w:w="108" w:type="dxa"/>
          </w:tblCellMar>
        </w:tblPrEx>
        <w:trPr>
          <w:trHeight w:val="270" w:hRule="atLeast"/>
          <w:tblHeader/>
        </w:trPr>
        <w:tc>
          <w:tcPr>
            <w:tcW w:w="13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4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3814"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369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013"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801" w:type="dxa"/>
            <w:gridSpan w:val="4"/>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873" w:type="dxa"/>
            <w:vMerge w:val="restart"/>
            <w:tcBorders>
              <w:top w:val="single" w:color="auto" w:sz="4" w:space="0"/>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824" w:type="dxa"/>
            <w:gridSpan w:val="4"/>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013"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873"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7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7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270" w:hRule="atLeast"/>
        </w:trPr>
        <w:tc>
          <w:tcPr>
            <w:tcW w:w="135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东南沿海区</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广东</w:t>
            </w: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粤西雷州半岛台地蓄井灌溉用水定额分区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301 </w:t>
            </w:r>
          </w:p>
        </w:tc>
      </w:tr>
      <w:tr>
        <w:tblPrEx>
          <w:tblLayout w:type="fixed"/>
          <w:tblCellMar>
            <w:top w:w="0" w:type="dxa"/>
            <w:left w:w="108" w:type="dxa"/>
            <w:bottom w:w="0" w:type="dxa"/>
            <w:right w:w="108" w:type="dxa"/>
          </w:tblCellMar>
        </w:tblPrEx>
        <w:trPr>
          <w:trHeight w:val="27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粤西沿海丘陵平原蓄引灌溉用水定额分区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301 </w:t>
            </w:r>
          </w:p>
        </w:tc>
      </w:tr>
      <w:tr>
        <w:tblPrEx>
          <w:tblLayout w:type="fixed"/>
          <w:tblCellMar>
            <w:top w:w="0" w:type="dxa"/>
            <w:left w:w="108" w:type="dxa"/>
            <w:bottom w:w="0" w:type="dxa"/>
            <w:right w:w="108" w:type="dxa"/>
          </w:tblCellMar>
        </w:tblPrEx>
        <w:trPr>
          <w:trHeight w:val="27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粤北和粤西北山区丘陵引蓄灌溉用水定额分区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301 </w:t>
            </w:r>
          </w:p>
        </w:tc>
      </w:tr>
      <w:tr>
        <w:tblPrEx>
          <w:tblLayout w:type="fixed"/>
          <w:tblCellMar>
            <w:top w:w="0" w:type="dxa"/>
            <w:left w:w="108" w:type="dxa"/>
            <w:bottom w:w="0" w:type="dxa"/>
            <w:right w:w="108" w:type="dxa"/>
          </w:tblCellMar>
        </w:tblPrEx>
        <w:trPr>
          <w:trHeight w:val="27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粤中珠江三角洲平原蓄引提灌溉用水定额分区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301 </w:t>
            </w:r>
          </w:p>
        </w:tc>
      </w:tr>
      <w:tr>
        <w:tblPrEx>
          <w:tblLayout w:type="fixed"/>
          <w:tblCellMar>
            <w:top w:w="0" w:type="dxa"/>
            <w:left w:w="108" w:type="dxa"/>
            <w:bottom w:w="0" w:type="dxa"/>
            <w:right w:w="108" w:type="dxa"/>
          </w:tblCellMar>
        </w:tblPrEx>
        <w:trPr>
          <w:trHeight w:val="27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粤东和粤东北丘陵山区蓄引灌溉用水定额分区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301 </w:t>
            </w:r>
          </w:p>
        </w:tc>
      </w:tr>
      <w:tr>
        <w:tblPrEx>
          <w:tblLayout w:type="fixed"/>
          <w:tblCellMar>
            <w:top w:w="0" w:type="dxa"/>
            <w:left w:w="108" w:type="dxa"/>
            <w:bottom w:w="0" w:type="dxa"/>
            <w:right w:w="108" w:type="dxa"/>
          </w:tblCellMar>
        </w:tblPrEx>
        <w:trPr>
          <w:trHeight w:val="27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粤东沿海潮汕平原蓄引灌溉用水定额分区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250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320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301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海南</w:t>
            </w: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海口</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290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277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243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228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377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360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315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315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296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琼海</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311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273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256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368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351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308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308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289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琼中</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204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195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171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171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161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271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259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227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227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213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三亚</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436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381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359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540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516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451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425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东方</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501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479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419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419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394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568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543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475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475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447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昌江</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379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331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312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507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484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424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424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399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儋州</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433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414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363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341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546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521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456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456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429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白沙</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248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237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208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208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195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309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296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259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259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244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广西</w:t>
            </w: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桂东区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306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212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186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186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175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380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264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231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217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桂西区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315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219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191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191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180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398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276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242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242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228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桂中区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333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231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203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191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417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289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253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253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238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桂南区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352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244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214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214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201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444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309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270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270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254 </w:t>
            </w:r>
          </w:p>
        </w:tc>
      </w:tr>
      <w:tr>
        <w:tblPrEx>
          <w:tblLayout w:type="fixed"/>
          <w:tblCellMar>
            <w:top w:w="0" w:type="dxa"/>
            <w:left w:w="108" w:type="dxa"/>
            <w:bottom w:w="0" w:type="dxa"/>
            <w:right w:w="108" w:type="dxa"/>
          </w:tblCellMar>
        </w:tblPrEx>
        <w:trPr>
          <w:trHeight w:val="301" w:hRule="exact"/>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桂北区</w:t>
            </w:r>
          </w:p>
        </w:tc>
        <w:tc>
          <w:tcPr>
            <w:tcW w:w="101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370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257 </w:t>
            </w:r>
          </w:p>
        </w:tc>
        <w:tc>
          <w:tcPr>
            <w:tcW w:w="75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225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225 </w:t>
            </w:r>
          </w:p>
        </w:tc>
        <w:tc>
          <w:tcPr>
            <w:tcW w:w="649"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212 </w:t>
            </w:r>
          </w:p>
        </w:tc>
        <w:tc>
          <w:tcPr>
            <w:tcW w:w="87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463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321 </w:t>
            </w:r>
          </w:p>
        </w:tc>
        <w:tc>
          <w:tcPr>
            <w:tcW w:w="73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281 </w:t>
            </w:r>
          </w:p>
        </w:tc>
        <w:tc>
          <w:tcPr>
            <w:tcW w:w="64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281 </w:t>
            </w:r>
          </w:p>
        </w:tc>
        <w:tc>
          <w:tcPr>
            <w:tcW w:w="71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265 </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附表（续）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全国甘蔗灌溉用水定额表</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单位：</w:t>
      </w:r>
      <w:r>
        <w:rPr>
          <w:rFonts w:ascii="Times New Roman" w:hAnsi="Times New Roman" w:eastAsia="黑体" w:cs="Times New Roman"/>
          <w:kern w:val="0"/>
          <w:sz w:val="24"/>
          <w:szCs w:val="24"/>
        </w:rPr>
        <w:t>m</w:t>
      </w:r>
      <w:r>
        <w:rPr>
          <w:rFonts w:ascii="Times New Roman" w:hAnsi="Times New Roman" w:eastAsia="黑体" w:cs="Times New Roman"/>
          <w:kern w:val="0"/>
          <w:sz w:val="24"/>
          <w:szCs w:val="24"/>
          <w:vertAlign w:val="superscript"/>
        </w:rPr>
        <w:t>3</w:t>
      </w:r>
      <w:r>
        <w:rPr>
          <w:rFonts w:ascii="Times New Roman" w:hAnsi="Times New Roman" w:eastAsia="黑体" w:cs="Times New Roman"/>
          <w:kern w:val="0"/>
          <w:sz w:val="24"/>
          <w:szCs w:val="24"/>
        </w:rPr>
        <w:t>/</w:t>
      </w:r>
      <w:r>
        <w:rPr>
          <w:rFonts w:hint="eastAsia" w:ascii="Times New Roman" w:hAnsi="Times New Roman" w:eastAsia="黑体" w:cs="Times New Roman"/>
          <w:kern w:val="0"/>
          <w:sz w:val="24"/>
          <w:szCs w:val="24"/>
        </w:rPr>
        <w:t>亩</w:t>
      </w:r>
    </w:p>
    <w:tbl>
      <w:tblPr>
        <w:tblStyle w:val="11"/>
        <w:tblW w:w="14256" w:type="dxa"/>
        <w:tblInd w:w="0" w:type="dxa"/>
        <w:tblLayout w:type="fixed"/>
        <w:tblCellMar>
          <w:top w:w="0" w:type="dxa"/>
          <w:left w:w="108" w:type="dxa"/>
          <w:bottom w:w="0" w:type="dxa"/>
          <w:right w:w="108" w:type="dxa"/>
        </w:tblCellMar>
      </w:tblPr>
      <w:tblGrid>
        <w:gridCol w:w="1357"/>
        <w:gridCol w:w="944"/>
        <w:gridCol w:w="4180"/>
        <w:gridCol w:w="1012"/>
        <w:gridCol w:w="753"/>
        <w:gridCol w:w="753"/>
        <w:gridCol w:w="647"/>
        <w:gridCol w:w="647"/>
        <w:gridCol w:w="1135"/>
        <w:gridCol w:w="730"/>
        <w:gridCol w:w="730"/>
        <w:gridCol w:w="647"/>
        <w:gridCol w:w="721"/>
      </w:tblGrid>
      <w:tr>
        <w:tblPrEx>
          <w:tblLayout w:type="fixed"/>
          <w:tblCellMar>
            <w:top w:w="0" w:type="dxa"/>
            <w:left w:w="108" w:type="dxa"/>
            <w:bottom w:w="0" w:type="dxa"/>
            <w:right w:w="108" w:type="dxa"/>
          </w:tblCellMar>
        </w:tblPrEx>
        <w:trPr>
          <w:trHeight w:val="270" w:hRule="atLeast"/>
          <w:tblHeader/>
        </w:trPr>
        <w:tc>
          <w:tcPr>
            <w:tcW w:w="13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一级分区</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范围</w:t>
            </w:r>
          </w:p>
        </w:tc>
        <w:tc>
          <w:tcPr>
            <w:tcW w:w="4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二级分区</w:t>
            </w:r>
          </w:p>
        </w:tc>
        <w:tc>
          <w:tcPr>
            <w:tcW w:w="381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50%</w:t>
            </w:r>
            <w:r>
              <w:rPr>
                <w:rFonts w:hint="eastAsia" w:ascii="Times New Roman" w:hAnsi="Times New Roman" w:eastAsia="宋体" w:cs="Times New Roman"/>
                <w:bCs/>
                <w:kern w:val="0"/>
                <w:szCs w:val="21"/>
              </w:rPr>
              <w:t>水文年</w:t>
            </w:r>
          </w:p>
        </w:tc>
        <w:tc>
          <w:tcPr>
            <w:tcW w:w="396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75%</w:t>
            </w:r>
            <w:r>
              <w:rPr>
                <w:rFonts w:hint="eastAsia" w:ascii="Times New Roman" w:hAnsi="Times New Roman" w:eastAsia="宋体" w:cs="Times New Roman"/>
                <w:bCs/>
                <w:kern w:val="0"/>
                <w:szCs w:val="21"/>
              </w:rPr>
              <w:t>水文年</w:t>
            </w:r>
          </w:p>
        </w:tc>
      </w:tr>
      <w:tr>
        <w:tblPrEx>
          <w:tblLayout w:type="fixed"/>
          <w:tblCellMar>
            <w:top w:w="0" w:type="dxa"/>
            <w:left w:w="108" w:type="dxa"/>
            <w:bottom w:w="0" w:type="dxa"/>
            <w:right w:w="108" w:type="dxa"/>
          </w:tblCellMar>
        </w:tblPrEx>
        <w:trPr>
          <w:trHeight w:val="270" w:hRule="atLeast"/>
          <w:tblHead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01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800" w:type="dxa"/>
            <w:gridSpan w:val="4"/>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c>
          <w:tcPr>
            <w:tcW w:w="1135" w:type="dxa"/>
            <w:vMerge w:val="restart"/>
            <w:tcBorders>
              <w:top w:val="single" w:color="auto" w:sz="4" w:space="0"/>
              <w:left w:val="nil"/>
              <w:right w:val="single" w:color="auto" w:sz="4" w:space="0"/>
            </w:tcBorders>
            <w:shd w:val="clear" w:color="auto" w:fill="auto"/>
            <w:noWrap/>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通用值</w:t>
            </w:r>
          </w:p>
        </w:tc>
        <w:tc>
          <w:tcPr>
            <w:tcW w:w="2828" w:type="dxa"/>
            <w:gridSpan w:val="4"/>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先进值</w:t>
            </w:r>
          </w:p>
        </w:tc>
      </w:tr>
      <w:tr>
        <w:tblPrEx>
          <w:tblLayout w:type="fixed"/>
          <w:tblCellMar>
            <w:top w:w="0" w:type="dxa"/>
            <w:left w:w="108" w:type="dxa"/>
            <w:bottom w:w="0" w:type="dxa"/>
            <w:right w:w="108" w:type="dxa"/>
          </w:tblCellMar>
        </w:tblPrEx>
        <w:trPr>
          <w:trHeight w:val="540" w:hRule="atLeast"/>
          <w:tblHead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1012"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7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c>
          <w:tcPr>
            <w:tcW w:w="1135" w:type="dxa"/>
            <w:vMerge w:val="continue"/>
            <w:tcBorders>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p>
        </w:tc>
        <w:tc>
          <w:tcPr>
            <w:tcW w:w="7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渠道防渗灌溉</w:t>
            </w:r>
          </w:p>
        </w:tc>
        <w:tc>
          <w:tcPr>
            <w:tcW w:w="7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管道输水灌溉</w:t>
            </w:r>
          </w:p>
        </w:tc>
        <w:tc>
          <w:tcPr>
            <w:tcW w:w="6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喷灌</w:t>
            </w:r>
          </w:p>
        </w:tc>
        <w:tc>
          <w:tcPr>
            <w:tcW w:w="7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微灌</w:t>
            </w:r>
          </w:p>
        </w:tc>
      </w:tr>
      <w:tr>
        <w:tblPrEx>
          <w:tblLayout w:type="fixed"/>
          <w:tblCellMar>
            <w:top w:w="0" w:type="dxa"/>
            <w:left w:w="108" w:type="dxa"/>
            <w:bottom w:w="0" w:type="dxa"/>
            <w:right w:w="108" w:type="dxa"/>
          </w:tblCellMar>
        </w:tblPrEx>
        <w:trPr>
          <w:trHeight w:val="330" w:hRule="atLeast"/>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西南区</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云南</w:t>
            </w:r>
          </w:p>
        </w:tc>
        <w:tc>
          <w:tcPr>
            <w:tcW w:w="41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w:t>
            </w:r>
            <w:r>
              <w:rPr>
                <w:rFonts w:hint="eastAsia" w:ascii="Times New Roman" w:hAnsi="Times New Roman" w:eastAsia="宋体" w:cs="Times New Roman"/>
                <w:bCs/>
                <w:color w:val="000000"/>
                <w:kern w:val="0"/>
                <w:szCs w:val="21"/>
              </w:rPr>
              <w:t>滇中区</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681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457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400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400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376 </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766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514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450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450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424 </w:t>
            </w:r>
          </w:p>
        </w:tc>
      </w:tr>
      <w:tr>
        <w:tblPrEx>
          <w:tblLayout w:type="fixed"/>
          <w:tblCellMar>
            <w:top w:w="0" w:type="dxa"/>
            <w:left w:w="108" w:type="dxa"/>
            <w:bottom w:w="0" w:type="dxa"/>
            <w:right w:w="108" w:type="dxa"/>
          </w:tblCellMar>
        </w:tblPrEx>
        <w:trPr>
          <w:trHeight w:val="33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w:t>
            </w:r>
            <w:r>
              <w:rPr>
                <w:rFonts w:hint="eastAsia" w:ascii="Times New Roman" w:hAnsi="Times New Roman" w:eastAsia="宋体" w:cs="Times New Roman"/>
                <w:bCs/>
                <w:color w:val="000000"/>
                <w:kern w:val="0"/>
                <w:szCs w:val="21"/>
              </w:rPr>
              <w:t>滇东南区</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596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400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350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350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329 </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681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457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400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400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376 </w:t>
            </w:r>
          </w:p>
        </w:tc>
      </w:tr>
      <w:tr>
        <w:tblPrEx>
          <w:tblLayout w:type="fixed"/>
          <w:tblCellMar>
            <w:top w:w="0" w:type="dxa"/>
            <w:left w:w="108" w:type="dxa"/>
            <w:bottom w:w="0" w:type="dxa"/>
            <w:right w:w="108" w:type="dxa"/>
          </w:tblCellMar>
        </w:tblPrEx>
        <w:trPr>
          <w:trHeight w:val="33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III</w:t>
            </w:r>
            <w:r>
              <w:rPr>
                <w:rFonts w:hint="eastAsia" w:ascii="Times New Roman" w:hAnsi="Times New Roman" w:eastAsia="宋体" w:cs="Times New Roman"/>
                <w:bCs/>
                <w:color w:val="000000"/>
                <w:kern w:val="0"/>
                <w:szCs w:val="21"/>
              </w:rPr>
              <w:t>滇西南区</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574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386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338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338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318 </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660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443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388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388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365 </w:t>
            </w:r>
          </w:p>
        </w:tc>
      </w:tr>
      <w:tr>
        <w:tblPrEx>
          <w:tblLayout w:type="fixed"/>
          <w:tblCellMar>
            <w:top w:w="0" w:type="dxa"/>
            <w:left w:w="108" w:type="dxa"/>
            <w:bottom w:w="0" w:type="dxa"/>
            <w:right w:w="108" w:type="dxa"/>
          </w:tblCellMar>
        </w:tblPrEx>
        <w:trPr>
          <w:trHeight w:val="33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IV</w:t>
            </w:r>
            <w:r>
              <w:rPr>
                <w:rFonts w:hint="eastAsia" w:ascii="Times New Roman" w:hAnsi="Times New Roman" w:eastAsia="宋体" w:cs="Times New Roman"/>
                <w:bCs/>
                <w:color w:val="000000"/>
                <w:kern w:val="0"/>
                <w:szCs w:val="21"/>
              </w:rPr>
              <w:t>滇东北区</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649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436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381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381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359 </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734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493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431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431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406 </w:t>
            </w:r>
          </w:p>
        </w:tc>
      </w:tr>
      <w:tr>
        <w:tblPrEx>
          <w:tblLayout w:type="fixed"/>
          <w:tblCellMar>
            <w:top w:w="0" w:type="dxa"/>
            <w:left w:w="108" w:type="dxa"/>
            <w:bottom w:w="0" w:type="dxa"/>
            <w:right w:w="108" w:type="dxa"/>
          </w:tblCellMar>
        </w:tblPrEx>
        <w:trPr>
          <w:trHeight w:val="330" w:hRule="atLeast"/>
        </w:trPr>
        <w:tc>
          <w:tcPr>
            <w:tcW w:w="135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kern w:val="0"/>
                <w:szCs w:val="21"/>
              </w:rPr>
            </w:pP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bCs/>
                <w:color w:val="000000"/>
                <w:kern w:val="0"/>
                <w:szCs w:val="21"/>
              </w:rPr>
            </w:pPr>
          </w:p>
        </w:tc>
        <w:tc>
          <w:tcPr>
            <w:tcW w:w="41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VI</w:t>
            </w:r>
            <w:r>
              <w:rPr>
                <w:rFonts w:hint="eastAsia" w:ascii="Times New Roman" w:hAnsi="Times New Roman" w:eastAsia="宋体" w:cs="Times New Roman"/>
                <w:bCs/>
                <w:color w:val="000000"/>
                <w:kern w:val="0"/>
                <w:szCs w:val="21"/>
              </w:rPr>
              <w:t>干热河谷区</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713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479 </w:t>
            </w:r>
          </w:p>
        </w:tc>
        <w:tc>
          <w:tcPr>
            <w:tcW w:w="75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419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419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394 </w:t>
            </w:r>
          </w:p>
        </w:tc>
        <w:tc>
          <w:tcPr>
            <w:tcW w:w="113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809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543 </w:t>
            </w:r>
          </w:p>
        </w:tc>
        <w:tc>
          <w:tcPr>
            <w:tcW w:w="73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475 </w:t>
            </w:r>
          </w:p>
        </w:tc>
        <w:tc>
          <w:tcPr>
            <w:tcW w:w="64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475 </w:t>
            </w:r>
          </w:p>
        </w:tc>
        <w:tc>
          <w:tcPr>
            <w:tcW w:w="72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447 </w:t>
            </w:r>
          </w:p>
        </w:tc>
      </w:tr>
    </w:tbl>
    <w:p>
      <w:pPr>
        <w:widowControl/>
        <w:jc w:val="left"/>
        <w:rPr>
          <w:rFonts w:ascii="Times New Roman" w:hAnsi="Times New Roman" w:cs="Times New Roman"/>
          <w:sz w:val="32"/>
          <w:szCs w:val="32"/>
        </w:rPr>
      </w:pPr>
    </w:p>
    <w:p>
      <w:pPr>
        <w:widowControl/>
        <w:jc w:val="left"/>
        <w:rPr>
          <w:rFonts w:ascii="Times New Roman" w:hAnsi="Times New Roman" w:cs="Times New Roman"/>
          <w:sz w:val="32"/>
          <w:szCs w:val="32"/>
        </w:rPr>
      </w:pPr>
      <w:r>
        <w:rPr>
          <w:rFonts w:ascii="Times New Roman" w:hAnsi="Times New Roman" w:cs="Times New Roman"/>
          <w:sz w:val="32"/>
          <w:szCs w:val="32"/>
        </w:rPr>
        <w:br w:type="page"/>
      </w: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全国甘蔗灌溉分区表</w:t>
      </w:r>
    </w:p>
    <w:tbl>
      <w:tblPr>
        <w:tblStyle w:val="11"/>
        <w:tblW w:w="13887" w:type="dxa"/>
        <w:tblInd w:w="0" w:type="dxa"/>
        <w:tblLayout w:type="fixed"/>
        <w:tblCellMar>
          <w:top w:w="0" w:type="dxa"/>
          <w:left w:w="108" w:type="dxa"/>
          <w:bottom w:w="0" w:type="dxa"/>
          <w:right w:w="108" w:type="dxa"/>
        </w:tblCellMar>
      </w:tblPr>
      <w:tblGrid>
        <w:gridCol w:w="1080"/>
        <w:gridCol w:w="1420"/>
        <w:gridCol w:w="3307"/>
        <w:gridCol w:w="8080"/>
      </w:tblGrid>
      <w:tr>
        <w:tblPrEx>
          <w:tblLayout w:type="fixed"/>
          <w:tblCellMar>
            <w:top w:w="0" w:type="dxa"/>
            <w:left w:w="108" w:type="dxa"/>
            <w:bottom w:w="0" w:type="dxa"/>
            <w:right w:w="108" w:type="dxa"/>
          </w:tblCellMar>
        </w:tblPrEx>
        <w:trPr>
          <w:trHeight w:val="529" w:hRule="atLeast"/>
          <w:tblHead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分区</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33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540" w:hRule="atLeast"/>
        </w:trPr>
        <w:tc>
          <w:tcPr>
            <w:tcW w:w="108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东南沿海区</w:t>
            </w:r>
          </w:p>
        </w:tc>
        <w:tc>
          <w:tcPr>
            <w:tcW w:w="142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广东</w:t>
            </w: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粤西雷州半岛台地蓄井灌溉用水定额分区</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湛江市</w:t>
            </w:r>
          </w:p>
        </w:tc>
      </w:tr>
      <w:tr>
        <w:tblPrEx>
          <w:tblLayout w:type="fixed"/>
          <w:tblCellMar>
            <w:top w:w="0" w:type="dxa"/>
            <w:left w:w="108" w:type="dxa"/>
            <w:bottom w:w="0" w:type="dxa"/>
            <w:right w:w="108" w:type="dxa"/>
          </w:tblCellMar>
        </w:tblPrEx>
        <w:trPr>
          <w:trHeight w:val="645"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粤西沿海丘陵平原蓄引灌溉用水定额分区</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阳江市、茂名市</w:t>
            </w:r>
          </w:p>
        </w:tc>
      </w:tr>
      <w:tr>
        <w:tblPrEx>
          <w:tblLayout w:type="fixed"/>
          <w:tblCellMar>
            <w:top w:w="0" w:type="dxa"/>
            <w:left w:w="108" w:type="dxa"/>
            <w:bottom w:w="0" w:type="dxa"/>
            <w:right w:w="108" w:type="dxa"/>
          </w:tblCellMar>
        </w:tblPrEx>
        <w:trPr>
          <w:trHeight w:val="540"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粤北和粤西北山区丘陵引蓄灌溉用水定额分区</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韶关市、肇庆市、清远市、云浮市</w:t>
            </w:r>
          </w:p>
        </w:tc>
      </w:tr>
      <w:tr>
        <w:tblPrEx>
          <w:tblLayout w:type="fixed"/>
          <w:tblCellMar>
            <w:top w:w="0" w:type="dxa"/>
            <w:left w:w="108" w:type="dxa"/>
            <w:bottom w:w="0" w:type="dxa"/>
            <w:right w:w="108" w:type="dxa"/>
          </w:tblCellMar>
        </w:tblPrEx>
        <w:trPr>
          <w:trHeight w:val="540"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粤中珠江三角洲平原蓄引提灌溉用水定额分区</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广州市、深圳市、珠海市、佛山市、东莞市、中山市、江门市</w:t>
            </w:r>
          </w:p>
        </w:tc>
      </w:tr>
      <w:tr>
        <w:tblPrEx>
          <w:tblLayout w:type="fixed"/>
          <w:tblCellMar>
            <w:top w:w="0" w:type="dxa"/>
            <w:left w:w="108" w:type="dxa"/>
            <w:bottom w:w="0" w:type="dxa"/>
            <w:right w:w="108" w:type="dxa"/>
          </w:tblCellMar>
        </w:tblPrEx>
        <w:trPr>
          <w:trHeight w:val="540"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粤东和粤东北丘陵山区蓄引灌溉用水定额分区</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河源市、梅州市、惠州市</w:t>
            </w:r>
          </w:p>
        </w:tc>
      </w:tr>
      <w:tr>
        <w:tblPrEx>
          <w:tblLayout w:type="fixed"/>
          <w:tblCellMar>
            <w:top w:w="0" w:type="dxa"/>
            <w:left w:w="108" w:type="dxa"/>
            <w:bottom w:w="0" w:type="dxa"/>
            <w:right w:w="108" w:type="dxa"/>
          </w:tblCellMar>
        </w:tblPrEx>
        <w:trPr>
          <w:trHeight w:val="540"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粤东沿海潮汕平原蓄引灌溉用水定额分区</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汕头市、汕尾市、潮州市、揭阳市</w:t>
            </w:r>
          </w:p>
        </w:tc>
      </w:tr>
      <w:tr>
        <w:tblPrEx>
          <w:tblLayout w:type="fixed"/>
          <w:tblCellMar>
            <w:top w:w="0" w:type="dxa"/>
            <w:left w:w="108" w:type="dxa"/>
            <w:bottom w:w="0" w:type="dxa"/>
            <w:right w:w="108" w:type="dxa"/>
          </w:tblCellMar>
        </w:tblPrEx>
        <w:trPr>
          <w:trHeight w:val="39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海南</w:t>
            </w:r>
          </w:p>
        </w:tc>
        <w:tc>
          <w:tcPr>
            <w:tcW w:w="33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海口</w:t>
            </w:r>
          </w:p>
        </w:tc>
        <w:tc>
          <w:tcPr>
            <w:tcW w:w="808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海口市、儋州市</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、临高县</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、澄迈县</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、定安县</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、文昌市</w:t>
            </w:r>
            <w:r>
              <w:rPr>
                <w:rFonts w:ascii="Times New Roman" w:hAnsi="Times New Roman" w:eastAsia="宋体" w:cs="Times New Roman"/>
                <w:kern w:val="0"/>
                <w:szCs w:val="21"/>
                <w:vertAlign w:val="superscript"/>
              </w:rPr>
              <w:t>1</w:t>
            </w:r>
          </w:p>
        </w:tc>
      </w:tr>
      <w:tr>
        <w:tblPrEx>
          <w:tblLayout w:type="fixed"/>
          <w:tblCellMar>
            <w:top w:w="0" w:type="dxa"/>
            <w:left w:w="108" w:type="dxa"/>
            <w:bottom w:w="0" w:type="dxa"/>
            <w:right w:w="108" w:type="dxa"/>
          </w:tblCellMar>
        </w:tblPrEx>
        <w:trPr>
          <w:trHeight w:val="39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琼海</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琼海市</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、文昌市</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、定安县</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、屯昌县</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、万宁市</w:t>
            </w:r>
            <w:r>
              <w:rPr>
                <w:rFonts w:ascii="Times New Roman" w:hAnsi="Times New Roman" w:eastAsia="宋体" w:cs="Times New Roman"/>
                <w:kern w:val="0"/>
                <w:szCs w:val="21"/>
                <w:vertAlign w:val="superscript"/>
              </w:rPr>
              <w:t>1</w:t>
            </w:r>
          </w:p>
        </w:tc>
      </w:tr>
      <w:tr>
        <w:tblPrEx>
          <w:tblLayout w:type="fixed"/>
          <w:tblCellMar>
            <w:top w:w="0" w:type="dxa"/>
            <w:left w:w="108" w:type="dxa"/>
            <w:bottom w:w="0" w:type="dxa"/>
            <w:right w:w="108" w:type="dxa"/>
          </w:tblCellMar>
        </w:tblPrEx>
        <w:trPr>
          <w:trHeight w:val="39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琼中</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屯昌县</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、琼海市</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、万宁市</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、白沙黎族自治县</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、琼中黎族苗族自治县</w:t>
            </w:r>
            <w:r>
              <w:rPr>
                <w:rFonts w:ascii="Times New Roman" w:hAnsi="Times New Roman" w:eastAsia="宋体" w:cs="Times New Roman"/>
                <w:kern w:val="0"/>
                <w:szCs w:val="21"/>
                <w:vertAlign w:val="superscript"/>
              </w:rPr>
              <w:t>1</w:t>
            </w:r>
          </w:p>
        </w:tc>
      </w:tr>
      <w:tr>
        <w:tblPrEx>
          <w:tblLayout w:type="fixed"/>
          <w:tblCellMar>
            <w:top w:w="0" w:type="dxa"/>
            <w:left w:w="108" w:type="dxa"/>
            <w:bottom w:w="0" w:type="dxa"/>
            <w:right w:w="108" w:type="dxa"/>
          </w:tblCellMar>
        </w:tblPrEx>
        <w:trPr>
          <w:trHeight w:val="39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三亚</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三亚市、乐东黎族自治县</w:t>
            </w:r>
            <w:r>
              <w:rPr>
                <w:rFonts w:ascii="Times New Roman" w:hAnsi="Times New Roman" w:eastAsia="宋体" w:cs="Times New Roman"/>
                <w:kern w:val="0"/>
                <w:szCs w:val="21"/>
                <w:vertAlign w:val="superscript"/>
              </w:rPr>
              <w:t>1</w:t>
            </w:r>
          </w:p>
        </w:tc>
      </w:tr>
      <w:tr>
        <w:tblPrEx>
          <w:tblLayout w:type="fixed"/>
          <w:tblCellMar>
            <w:top w:w="0" w:type="dxa"/>
            <w:left w:w="108" w:type="dxa"/>
            <w:bottom w:w="0" w:type="dxa"/>
            <w:right w:w="108" w:type="dxa"/>
          </w:tblCellMar>
        </w:tblPrEx>
        <w:trPr>
          <w:trHeight w:val="39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东方</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东方市</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、昌江黎族自治县</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rPr>
              <w:t>、儋州市</w:t>
            </w:r>
            <w:r>
              <w:rPr>
                <w:rFonts w:ascii="Times New Roman" w:hAnsi="Times New Roman" w:eastAsia="宋体" w:cs="Times New Roman"/>
                <w:kern w:val="0"/>
                <w:szCs w:val="21"/>
                <w:vertAlign w:val="superscript"/>
              </w:rPr>
              <w:t>2</w:t>
            </w:r>
          </w:p>
        </w:tc>
      </w:tr>
      <w:tr>
        <w:tblPrEx>
          <w:tblLayout w:type="fixed"/>
          <w:tblCellMar>
            <w:top w:w="0" w:type="dxa"/>
            <w:left w:w="108" w:type="dxa"/>
            <w:bottom w:w="0" w:type="dxa"/>
            <w:right w:w="108" w:type="dxa"/>
          </w:tblCellMar>
        </w:tblPrEx>
        <w:trPr>
          <w:trHeight w:val="39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昌江</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白沙黎族自治县</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、昌江黎族自治县</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、东方市</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、乐东黎族自治县</w:t>
            </w:r>
            <w:r>
              <w:rPr>
                <w:rFonts w:ascii="Times New Roman" w:hAnsi="Times New Roman" w:eastAsia="宋体" w:cs="Times New Roman"/>
                <w:kern w:val="0"/>
                <w:szCs w:val="21"/>
                <w:vertAlign w:val="superscript"/>
              </w:rPr>
              <w:t>2</w:t>
            </w:r>
          </w:p>
        </w:tc>
      </w:tr>
      <w:tr>
        <w:tblPrEx>
          <w:tblLayout w:type="fixed"/>
          <w:tblCellMar>
            <w:top w:w="0" w:type="dxa"/>
            <w:left w:w="108" w:type="dxa"/>
            <w:bottom w:w="0" w:type="dxa"/>
            <w:right w:w="108" w:type="dxa"/>
          </w:tblCellMar>
        </w:tblPrEx>
        <w:trPr>
          <w:trHeight w:val="39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儋州</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儋州市</w:t>
            </w:r>
            <w:r>
              <w:rPr>
                <w:rFonts w:ascii="Times New Roman" w:hAnsi="Times New Roman" w:eastAsia="宋体" w:cs="Times New Roman"/>
                <w:kern w:val="0"/>
                <w:szCs w:val="21"/>
                <w:vertAlign w:val="superscript"/>
              </w:rPr>
              <w:t>3</w:t>
            </w:r>
            <w:r>
              <w:rPr>
                <w:rFonts w:hint="eastAsia" w:ascii="Times New Roman" w:hAnsi="Times New Roman" w:eastAsia="宋体" w:cs="Times New Roman"/>
                <w:kern w:val="0"/>
                <w:szCs w:val="21"/>
              </w:rPr>
              <w:t>、临高县</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、澄迈县</w:t>
            </w:r>
            <w:r>
              <w:rPr>
                <w:rFonts w:ascii="Times New Roman" w:hAnsi="Times New Roman" w:eastAsia="宋体" w:cs="Times New Roman"/>
                <w:kern w:val="0"/>
                <w:szCs w:val="21"/>
                <w:vertAlign w:val="superscript"/>
              </w:rPr>
              <w:t>2</w:t>
            </w:r>
          </w:p>
        </w:tc>
      </w:tr>
      <w:tr>
        <w:tblPrEx>
          <w:tblLayout w:type="fixed"/>
          <w:tblCellMar>
            <w:top w:w="0" w:type="dxa"/>
            <w:left w:w="108" w:type="dxa"/>
            <w:bottom w:w="0" w:type="dxa"/>
            <w:right w:w="108" w:type="dxa"/>
          </w:tblCellMar>
        </w:tblPrEx>
        <w:trPr>
          <w:trHeight w:val="691"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33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白沙</w:t>
            </w:r>
          </w:p>
        </w:tc>
        <w:tc>
          <w:tcPr>
            <w:tcW w:w="808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陵水黎族自治县、保亭黎族苗族自治县、琼中黎族苗族自治县</w:t>
            </w:r>
            <w:r>
              <w:rPr>
                <w:rFonts w:ascii="Times New Roman" w:hAnsi="Times New Roman" w:eastAsia="宋体" w:cs="Times New Roman"/>
                <w:kern w:val="0"/>
                <w:szCs w:val="21"/>
                <w:vertAlign w:val="superscript"/>
              </w:rPr>
              <w:t>2</w:t>
            </w:r>
            <w:r>
              <w:rPr>
                <w:rFonts w:hint="eastAsia" w:ascii="Times New Roman" w:hAnsi="Times New Roman" w:eastAsia="宋体" w:cs="Times New Roman"/>
                <w:kern w:val="0"/>
                <w:szCs w:val="21"/>
              </w:rPr>
              <w:t>、五指山市、儋州市</w:t>
            </w:r>
            <w:r>
              <w:rPr>
                <w:rFonts w:ascii="Times New Roman" w:hAnsi="Times New Roman" w:eastAsia="宋体" w:cs="Times New Roman"/>
                <w:kern w:val="0"/>
                <w:szCs w:val="21"/>
                <w:vertAlign w:val="superscript"/>
              </w:rPr>
              <w:t>4</w:t>
            </w:r>
            <w:r>
              <w:rPr>
                <w:rFonts w:hint="eastAsia" w:ascii="Times New Roman" w:hAnsi="Times New Roman" w:eastAsia="宋体" w:cs="Times New Roman"/>
                <w:kern w:val="0"/>
                <w:szCs w:val="21"/>
              </w:rPr>
              <w:t>、白沙黎族自治县</w:t>
            </w:r>
            <w:r>
              <w:rPr>
                <w:rFonts w:ascii="Times New Roman" w:hAnsi="Times New Roman" w:eastAsia="宋体" w:cs="Times New Roman"/>
                <w:kern w:val="0"/>
                <w:szCs w:val="21"/>
                <w:vertAlign w:val="superscript"/>
              </w:rPr>
              <w:t>3</w:t>
            </w:r>
          </w:p>
        </w:tc>
      </w:tr>
    </w:tbl>
    <w:p>
      <w:pPr>
        <w:tabs>
          <w:tab w:val="left" w:pos="2907"/>
        </w:tabs>
        <w:rPr>
          <w:rFonts w:ascii="Times New Roman" w:hAnsi="Times New Roman" w:eastAsia="黑体" w:cs="Times New Roman"/>
          <w:sz w:val="24"/>
          <w:szCs w:val="24"/>
        </w:rPr>
      </w:pPr>
    </w:p>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全国甘蔗灌溉分区表</w:t>
      </w:r>
    </w:p>
    <w:tbl>
      <w:tblPr>
        <w:tblStyle w:val="11"/>
        <w:tblW w:w="13887" w:type="dxa"/>
        <w:tblInd w:w="0" w:type="dxa"/>
        <w:tblLayout w:type="fixed"/>
        <w:tblCellMar>
          <w:top w:w="0" w:type="dxa"/>
          <w:left w:w="108" w:type="dxa"/>
          <w:bottom w:w="0" w:type="dxa"/>
          <w:right w:w="108" w:type="dxa"/>
        </w:tblCellMar>
      </w:tblPr>
      <w:tblGrid>
        <w:gridCol w:w="1080"/>
        <w:gridCol w:w="1420"/>
        <w:gridCol w:w="2995"/>
        <w:gridCol w:w="8392"/>
      </w:tblGrid>
      <w:tr>
        <w:tblPrEx>
          <w:tblLayout w:type="fixed"/>
          <w:tblCellMar>
            <w:top w:w="0" w:type="dxa"/>
            <w:left w:w="108" w:type="dxa"/>
            <w:bottom w:w="0" w:type="dxa"/>
            <w:right w:w="108" w:type="dxa"/>
          </w:tblCellMar>
        </w:tblPrEx>
        <w:trPr>
          <w:trHeight w:val="699"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分区</w:t>
            </w:r>
          </w:p>
        </w:tc>
        <w:tc>
          <w:tcPr>
            <w:tcW w:w="142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2995"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二级分区所辖区域</w:t>
            </w:r>
          </w:p>
        </w:tc>
      </w:tr>
      <w:tr>
        <w:tblPrEx>
          <w:tblLayout w:type="fixed"/>
          <w:tblCellMar>
            <w:top w:w="0" w:type="dxa"/>
            <w:left w:w="108" w:type="dxa"/>
            <w:bottom w:w="0" w:type="dxa"/>
            <w:right w:w="108" w:type="dxa"/>
          </w:tblCellMar>
        </w:tblPrEx>
        <w:trPr>
          <w:trHeight w:val="805" w:hRule="atLeast"/>
        </w:trPr>
        <w:tc>
          <w:tcPr>
            <w:tcW w:w="1080" w:type="dxa"/>
            <w:vMerge w:val="restart"/>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东南沿海区</w:t>
            </w:r>
          </w:p>
        </w:tc>
        <w:tc>
          <w:tcPr>
            <w:tcW w:w="1420" w:type="dxa"/>
            <w:vMerge w:val="restart"/>
            <w:tcBorders>
              <w:top w:val="single" w:color="auto" w:sz="4" w:space="0"/>
              <w:left w:val="single" w:color="auto" w:sz="4" w:space="0"/>
              <w:bottom w:val="single" w:color="000000" w:sz="4" w:space="0"/>
              <w:right w:val="nil"/>
            </w:tcBorders>
            <w:shd w:val="clear" w:color="auto" w:fill="auto"/>
            <w:vAlign w:val="center"/>
          </w:tcPr>
          <w:p>
            <w:pPr>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广西</w:t>
            </w:r>
          </w:p>
        </w:tc>
        <w:tc>
          <w:tcPr>
            <w:tcW w:w="2995"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桂东区</w:t>
            </w:r>
          </w:p>
        </w:tc>
        <w:tc>
          <w:tcPr>
            <w:tcW w:w="8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万秀区、长洲区、苍梧县、藤县、蒙山县、岑溪市、玉州区、福绵区、容县、陆川县、博白县、兴业县、北流市、平桂区、八步区、昭平县、钟山县、富川瑶族自治县</w:t>
            </w:r>
          </w:p>
        </w:tc>
      </w:tr>
      <w:tr>
        <w:tblPrEx>
          <w:tblLayout w:type="fixed"/>
          <w:tblCellMar>
            <w:top w:w="0" w:type="dxa"/>
            <w:left w:w="108" w:type="dxa"/>
            <w:bottom w:w="0" w:type="dxa"/>
            <w:right w:w="108" w:type="dxa"/>
          </w:tblCellMar>
        </w:tblPrEx>
        <w:trPr>
          <w:trHeight w:val="996"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995"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桂西区</w:t>
            </w:r>
          </w:p>
        </w:tc>
        <w:tc>
          <w:tcPr>
            <w:tcW w:w="8392"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右江区、田阳区、田东县、平果市、德保县、靖西市、那坡县、凌云县、乐业县、田林县、西林县、隆林各族自治县、金城江区、南丹县、天峨县、凤山县、东兰县、罗城仫佬族自治县、环江毛南族自治县、巴马瑶族自治县、都安瑶族自治县、大化瑶族自治县、宜州区</w:t>
            </w:r>
          </w:p>
        </w:tc>
      </w:tr>
      <w:tr>
        <w:tblPrEx>
          <w:tblLayout w:type="fixed"/>
          <w:tblCellMar>
            <w:top w:w="0" w:type="dxa"/>
            <w:left w:w="108" w:type="dxa"/>
            <w:bottom w:w="0" w:type="dxa"/>
            <w:right w:w="108" w:type="dxa"/>
          </w:tblCellMar>
        </w:tblPrEx>
        <w:trPr>
          <w:trHeight w:val="1251"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995"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桂中区</w:t>
            </w:r>
          </w:p>
        </w:tc>
        <w:tc>
          <w:tcPr>
            <w:tcW w:w="839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兴宁区、青秀区、江南区、西乡塘区、良庆区、邕宁区、武鸣区、隆安县、马山县、上林县、宾阳县、横县、港北区、港南区、覃塘区、平南县、桂平市、兴宾区、忻城县、象州县、武宣县、金秀瑶族自治县、合山市、江州区、扶绥县、宁明县、龙州县、大新县、天等县、凭祥市</w:t>
            </w:r>
          </w:p>
        </w:tc>
      </w:tr>
      <w:tr>
        <w:tblPrEx>
          <w:tblLayout w:type="fixed"/>
          <w:tblCellMar>
            <w:top w:w="0" w:type="dxa"/>
            <w:left w:w="108" w:type="dxa"/>
            <w:bottom w:w="0" w:type="dxa"/>
            <w:right w:w="108" w:type="dxa"/>
          </w:tblCellMar>
        </w:tblPrEx>
        <w:trPr>
          <w:trHeight w:val="687"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995"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桂南区</w:t>
            </w:r>
          </w:p>
        </w:tc>
        <w:tc>
          <w:tcPr>
            <w:tcW w:w="839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海城区、银海区、铁山港区、合浦县、港口区、防城区、上思县、东兴市、钦南区、钦北区、灵山县、浦北县</w:t>
            </w:r>
          </w:p>
        </w:tc>
      </w:tr>
      <w:tr>
        <w:tblPrEx>
          <w:tblLayout w:type="fixed"/>
          <w:tblCellMar>
            <w:top w:w="0" w:type="dxa"/>
            <w:left w:w="108" w:type="dxa"/>
            <w:bottom w:w="0" w:type="dxa"/>
            <w:right w:w="108" w:type="dxa"/>
          </w:tblCellMar>
        </w:tblPrEx>
        <w:trPr>
          <w:trHeight w:val="1000" w:hRule="atLeast"/>
        </w:trPr>
        <w:tc>
          <w:tcPr>
            <w:tcW w:w="1080"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宋体" w:cs="Times New Roman"/>
                <w:color w:val="000000"/>
                <w:kern w:val="0"/>
                <w:szCs w:val="21"/>
              </w:rPr>
            </w:pPr>
          </w:p>
        </w:tc>
        <w:tc>
          <w:tcPr>
            <w:tcW w:w="2995" w:type="dxa"/>
            <w:tcBorders>
              <w:top w:val="nil"/>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桂北区</w:t>
            </w:r>
          </w:p>
        </w:tc>
        <w:tc>
          <w:tcPr>
            <w:tcW w:w="839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Cs w:val="21"/>
              </w:rPr>
            </w:pPr>
            <w:r>
              <w:rPr>
                <w:rFonts w:hint="eastAsia" w:ascii="Times New Roman" w:hAnsi="Times New Roman" w:eastAsia="宋体" w:cs="Times New Roman"/>
                <w:kern w:val="0"/>
                <w:szCs w:val="21"/>
              </w:rPr>
              <w:t>城中区、鱼峰区、柳南区、柳北区、柳江区、柳城县、鹿寨县、融安县、融水苗族自治县、三江侗族自治县、秀峰区、叠彩区、象山区、七星区、雁山区、阳朔县、临桂区、灵川县、全州县、兴安县、永福县、灌阳县、龙胜各族自治县、资源县、平乐县、荔浦市、恭城瑶族自治县</w:t>
            </w:r>
          </w:p>
        </w:tc>
      </w:tr>
      <w:tr>
        <w:tblPrEx>
          <w:tblLayout w:type="fixed"/>
          <w:tblCellMar>
            <w:top w:w="0" w:type="dxa"/>
            <w:left w:w="108" w:type="dxa"/>
            <w:bottom w:w="0" w:type="dxa"/>
            <w:right w:w="108" w:type="dxa"/>
          </w:tblCellMar>
        </w:tblPrEx>
        <w:trPr>
          <w:trHeight w:val="226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云南</w:t>
            </w:r>
          </w:p>
        </w:tc>
        <w:tc>
          <w:tcPr>
            <w:tcW w:w="2995"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w:t>
            </w:r>
            <w:r>
              <w:rPr>
                <w:rFonts w:hint="eastAsia" w:ascii="Times New Roman" w:hAnsi="Times New Roman" w:eastAsia="宋体" w:cs="Times New Roman"/>
                <w:color w:val="000000"/>
                <w:kern w:val="0"/>
                <w:szCs w:val="21"/>
              </w:rPr>
              <w:t>滇中区</w:t>
            </w:r>
          </w:p>
        </w:tc>
        <w:tc>
          <w:tcPr>
            <w:tcW w:w="839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五华区、盘龙区、官渡区、西山区、安宁市、呈贡区、晋宁区、富民县、禄劝彝族苗族自治县、嵩明县、寻甸回族彝族自治县、马龙区、武定县、永胜县（除金沙江河谷区域）、鹤庆县（除金沙江河谷区域）、澄江市、宜良县、石林彝族自治县、姚安县、大姚县（除金沙江河谷区域）、易门县、禄丰市、大理市、洱源县、红塔区、江川区、个旧市、开远市、蒙自市、建水县、石屏县（除元江</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红河河谷区域）、弥勒市、泸西县、祥云县、弥渡县、南涧彝族自治县、巍山彝族回族自治县、通海县、华宁县、楚雄市、牟定县、南华县、麒麟区、陆良县、沾益区、漾濞彝族自治县</w:t>
            </w:r>
          </w:p>
        </w:tc>
      </w:tr>
    </w:tbl>
    <w:p>
      <w:pPr>
        <w:tabs>
          <w:tab w:val="left" w:pos="2907"/>
        </w:tabs>
        <w:rPr>
          <w:rFonts w:ascii="Times New Roman" w:hAnsi="Times New Roman" w:eastAsia="黑体" w:cs="Times New Roman"/>
          <w:sz w:val="24"/>
          <w:szCs w:val="24"/>
        </w:rPr>
      </w:pPr>
      <w:r>
        <w:rPr>
          <w:rFonts w:hint="eastAsia" w:ascii="Times New Roman" w:hAnsi="Times New Roman" w:eastAsia="黑体" w:cs="Times New Roman"/>
          <w:sz w:val="24"/>
          <w:szCs w:val="24"/>
        </w:rPr>
        <w:t>附录（续）</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全国甘蔗灌溉分区表</w:t>
      </w:r>
    </w:p>
    <w:tbl>
      <w:tblPr>
        <w:tblStyle w:val="11"/>
        <w:tblW w:w="13887" w:type="dxa"/>
        <w:tblInd w:w="0" w:type="dxa"/>
        <w:tblLayout w:type="fixed"/>
        <w:tblCellMar>
          <w:top w:w="0" w:type="dxa"/>
          <w:left w:w="108" w:type="dxa"/>
          <w:bottom w:w="0" w:type="dxa"/>
          <w:right w:w="108" w:type="dxa"/>
        </w:tblCellMar>
      </w:tblPr>
      <w:tblGrid>
        <w:gridCol w:w="1080"/>
        <w:gridCol w:w="1420"/>
        <w:gridCol w:w="3024"/>
        <w:gridCol w:w="8363"/>
      </w:tblGrid>
      <w:tr>
        <w:tblPrEx>
          <w:tblLayout w:type="fixed"/>
          <w:tblCellMar>
            <w:top w:w="0" w:type="dxa"/>
            <w:left w:w="108" w:type="dxa"/>
            <w:bottom w:w="0" w:type="dxa"/>
            <w:right w:w="108" w:type="dxa"/>
          </w:tblCellMar>
        </w:tblPrEx>
        <w:trPr>
          <w:trHeight w:val="69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一级</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分区</w:t>
            </w:r>
          </w:p>
        </w:tc>
        <w:tc>
          <w:tcPr>
            <w:tcW w:w="14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范围</w:t>
            </w:r>
          </w:p>
        </w:tc>
        <w:tc>
          <w:tcPr>
            <w:tcW w:w="3024"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二级分区</w:t>
            </w:r>
          </w:p>
        </w:tc>
        <w:tc>
          <w:tcPr>
            <w:tcW w:w="8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宋体" w:hAnsi="宋体" w:eastAsia="宋体" w:cs="宋体"/>
                <w:kern w:val="0"/>
                <w:szCs w:val="21"/>
              </w:rPr>
              <w:t>二级分区所辖区域</w:t>
            </w:r>
          </w:p>
        </w:tc>
      </w:tr>
      <w:tr>
        <w:tblPrEx>
          <w:tblLayout w:type="fixed"/>
          <w:tblCellMar>
            <w:top w:w="0" w:type="dxa"/>
            <w:left w:w="108" w:type="dxa"/>
            <w:bottom w:w="0" w:type="dxa"/>
            <w:right w:w="108" w:type="dxa"/>
          </w:tblCellMar>
        </w:tblPrEx>
        <w:trPr>
          <w:trHeight w:val="719" w:hRule="exact"/>
        </w:trPr>
        <w:tc>
          <w:tcPr>
            <w:tcW w:w="1080"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西南区</w:t>
            </w:r>
          </w:p>
        </w:tc>
        <w:tc>
          <w:tcPr>
            <w:tcW w:w="1420" w:type="dxa"/>
            <w:vMerge w:val="restart"/>
            <w:tcBorders>
              <w:left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云南</w:t>
            </w:r>
          </w:p>
        </w:tc>
        <w:tc>
          <w:tcPr>
            <w:tcW w:w="3024"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w:t>
            </w:r>
            <w:r>
              <w:rPr>
                <w:rFonts w:hint="eastAsia" w:ascii="Times New Roman" w:hAnsi="Times New Roman" w:eastAsia="宋体" w:cs="Times New Roman"/>
                <w:color w:val="000000"/>
                <w:kern w:val="0"/>
                <w:szCs w:val="21"/>
              </w:rPr>
              <w:t>滇东南区</w:t>
            </w:r>
          </w:p>
        </w:tc>
        <w:tc>
          <w:tcPr>
            <w:tcW w:w="836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屏边苗族自治县、河口瑶族自治县、麻栗坡县、马关县、西畴县、广南县、富宁县、文山市、丘北县、砚山县、师宗县、罗平县、富源县</w:t>
            </w:r>
          </w:p>
        </w:tc>
      </w:tr>
      <w:tr>
        <w:tblPrEx>
          <w:tblLayout w:type="fixed"/>
          <w:tblCellMar>
            <w:top w:w="0" w:type="dxa"/>
            <w:left w:w="108" w:type="dxa"/>
            <w:bottom w:w="0" w:type="dxa"/>
            <w:right w:w="108" w:type="dxa"/>
          </w:tblCellMar>
        </w:tblPrEx>
        <w:trPr>
          <w:trHeight w:val="2380" w:hRule="exact"/>
        </w:trPr>
        <w:tc>
          <w:tcPr>
            <w:tcW w:w="1080" w:type="dxa"/>
            <w:vMerge w:val="continue"/>
            <w:tcBorders>
              <w:left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1420" w:type="dxa"/>
            <w:vMerge w:val="continue"/>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rPr>
            </w:pPr>
          </w:p>
        </w:tc>
        <w:tc>
          <w:tcPr>
            <w:tcW w:w="3024"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III</w:t>
            </w:r>
            <w:r>
              <w:rPr>
                <w:rFonts w:hint="eastAsia" w:ascii="Times New Roman" w:hAnsi="Times New Roman" w:eastAsia="宋体" w:cs="Times New Roman"/>
                <w:color w:val="000000"/>
                <w:kern w:val="0"/>
                <w:szCs w:val="21"/>
              </w:rPr>
              <w:t>滇西南区</w:t>
            </w:r>
          </w:p>
        </w:tc>
        <w:tc>
          <w:tcPr>
            <w:tcW w:w="836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金平苗族瑶族傣族自治县、绿春县、江城哈尼族彝族自治县、孟连傣族拉祜族佤族自治县、西盟佤族自治县、龙陵县（除怒江河谷区域）、陇川县、瑞丽市、芒市、澜沧拉祜族自治县、勐海县、勐腊县、永德县（除怒江河谷区域）、镇康县（除怒江河谷区域）、双江拉祜族佤族布朗族傣族自治县、耿马傣族佤族自治县、沧源佤族自治县、临翔区、凤庆县、云县、腾冲市、梁河县、盈江县、隆阳区（除怒江河谷区域）、昌宁县、永平县、思茅区、宁洱哈尼族彝族自治县、景谷傣族彝族自治县、元阳县、墨江哈尼族自治县、景东彝族自治县、镇沅彝族哈尼族拉祜族自治县、景洪市、施甸县（除怒江河谷区域）、双柏县、峨山彝族自治县、新平彝族傣族自治县（除元江</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红河河谷区域）</w:t>
            </w:r>
          </w:p>
        </w:tc>
      </w:tr>
      <w:tr>
        <w:tblPrEx>
          <w:tblLayout w:type="fixed"/>
          <w:tblCellMar>
            <w:top w:w="0" w:type="dxa"/>
            <w:left w:w="108" w:type="dxa"/>
            <w:bottom w:w="0" w:type="dxa"/>
            <w:right w:w="108" w:type="dxa"/>
          </w:tblCellMar>
        </w:tblPrEx>
        <w:trPr>
          <w:trHeight w:val="685" w:hRule="atLeast"/>
        </w:trPr>
        <w:tc>
          <w:tcPr>
            <w:tcW w:w="1080"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024"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IV</w:t>
            </w:r>
            <w:r>
              <w:rPr>
                <w:rFonts w:hint="eastAsia" w:ascii="Times New Roman" w:hAnsi="Times New Roman" w:eastAsia="宋体" w:cs="Times New Roman"/>
                <w:color w:val="000000"/>
                <w:kern w:val="0"/>
                <w:szCs w:val="21"/>
              </w:rPr>
              <w:t>滇东北区</w:t>
            </w:r>
          </w:p>
        </w:tc>
        <w:tc>
          <w:tcPr>
            <w:tcW w:w="836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大关县、彝良县、威信县、盐津县、永善县、镇雄县、绥江县、水富市、宣威市、会泽县、鲁甸县、昭阳区</w:t>
            </w:r>
          </w:p>
        </w:tc>
      </w:tr>
      <w:tr>
        <w:tblPrEx>
          <w:tblLayout w:type="fixed"/>
          <w:tblCellMar>
            <w:top w:w="0" w:type="dxa"/>
            <w:left w:w="108" w:type="dxa"/>
            <w:bottom w:w="0" w:type="dxa"/>
            <w:right w:w="108" w:type="dxa"/>
          </w:tblCellMar>
        </w:tblPrEx>
        <w:trPr>
          <w:trHeight w:val="1529" w:hRule="atLeast"/>
        </w:trPr>
        <w:tc>
          <w:tcPr>
            <w:tcW w:w="108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142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3024"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VI</w:t>
            </w:r>
            <w:r>
              <w:rPr>
                <w:rFonts w:hint="eastAsia" w:ascii="Times New Roman" w:hAnsi="Times New Roman" w:eastAsia="宋体" w:cs="Times New Roman"/>
                <w:color w:val="000000"/>
                <w:kern w:val="0"/>
                <w:szCs w:val="21"/>
              </w:rPr>
              <w:t>干热河谷区</w:t>
            </w:r>
          </w:p>
        </w:tc>
        <w:tc>
          <w:tcPr>
            <w:tcW w:w="836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kern w:val="0"/>
                <w:szCs w:val="21"/>
              </w:rPr>
              <w:t>永仁县、元谋县、宾川县、华坪县、东川区、巧家县、鹤庆县（中江、朵美、黄坪）金沙江河谷区域、永胜金沙江河谷区域、大姚金沙江河谷区域、元江哈尼族彝族傣族自治县、红河县、新平彝族傣族自治县的元江</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红河河谷区域（水塘、戛洒、腰街、漠沙一带）、石屏元江</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 xml:space="preserve">红河河谷区域、隆阳怒江河谷区域、龙陵怒江河谷区域（勐糯一带）、施甸怒江河谷区域、永德怒江河 </w: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谷区域、镇康怒江河谷区域</w:t>
            </w:r>
          </w:p>
        </w:tc>
      </w:tr>
    </w:tbl>
    <w:p>
      <w:pPr>
        <w:widowControl/>
        <w:spacing w:line="360" w:lineRule="auto"/>
        <w:ind w:firstLine="360" w:firstLineChars="200"/>
        <w:rPr>
          <w:rFonts w:ascii="Times New Roman" w:hAnsi="Times New Roman" w:cs="Times New Roman"/>
        </w:rPr>
      </w:pPr>
      <w:r>
        <w:rPr>
          <w:rFonts w:ascii="Times New Roman" w:hAnsi="Times New Roman" w:cs="Times New Roman"/>
          <w:sz w:val="18"/>
          <w:szCs w:val="18"/>
        </w:rPr>
        <w:t>注：</w:t>
      </w:r>
      <w:r>
        <w:rPr>
          <w:rFonts w:ascii="Times New Roman" w:hAnsi="Times New Roman" w:eastAsia="宋体" w:cs="Times New Roman"/>
          <w:color w:val="000000"/>
          <w:kern w:val="0"/>
          <w:sz w:val="18"/>
          <w:szCs w:val="18"/>
          <w:lang w:val="zh-CN"/>
        </w:rPr>
        <w:t>海南省二级分区中，部分县（市）出现交叉的，以数字上标加以备注，请按乡镇进行选用，具体请参考《海南省用水定额》（DB46/T 449</w:t>
      </w:r>
      <w:r>
        <w:rPr>
          <w:rFonts w:hint="eastAsia" w:ascii="Times New Roman" w:hAnsi="Times New Roman" w:cs="Times New Roman"/>
          <w:sz w:val="18"/>
          <w:szCs w:val="18"/>
          <w:lang w:eastAsia="zh-CN"/>
        </w:rPr>
        <w:t>—</w:t>
      </w:r>
      <w:r>
        <w:rPr>
          <w:rFonts w:ascii="Times New Roman" w:hAnsi="Times New Roman" w:eastAsia="宋体" w:cs="Times New Roman"/>
          <w:color w:val="000000"/>
          <w:kern w:val="0"/>
          <w:sz w:val="18"/>
          <w:szCs w:val="18"/>
          <w:lang w:val="zh-CN"/>
        </w:rPr>
        <w:t>2017）表4农业灌溉用水定额分区表。</w:t>
      </w: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588621"/>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58</w:t>
        </w:r>
        <w:r>
          <w:rPr>
            <w:rFonts w:ascii="Times New Roman" w:hAnsi="Times New Roman" w:cs="Times New Roma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A2"/>
    <w:rsid w:val="00001D50"/>
    <w:rsid w:val="00007925"/>
    <w:rsid w:val="000107CC"/>
    <w:rsid w:val="0001305F"/>
    <w:rsid w:val="000239D5"/>
    <w:rsid w:val="0002681C"/>
    <w:rsid w:val="00027C9A"/>
    <w:rsid w:val="00027F91"/>
    <w:rsid w:val="0003562C"/>
    <w:rsid w:val="00036807"/>
    <w:rsid w:val="000504AD"/>
    <w:rsid w:val="0005155B"/>
    <w:rsid w:val="00053A94"/>
    <w:rsid w:val="00053C85"/>
    <w:rsid w:val="0005494F"/>
    <w:rsid w:val="00060152"/>
    <w:rsid w:val="00061581"/>
    <w:rsid w:val="00062F85"/>
    <w:rsid w:val="00066F36"/>
    <w:rsid w:val="000677C8"/>
    <w:rsid w:val="0007521B"/>
    <w:rsid w:val="000755DD"/>
    <w:rsid w:val="00076EAF"/>
    <w:rsid w:val="00076F04"/>
    <w:rsid w:val="00077FE9"/>
    <w:rsid w:val="0008230B"/>
    <w:rsid w:val="00085E73"/>
    <w:rsid w:val="00085EEA"/>
    <w:rsid w:val="0009301B"/>
    <w:rsid w:val="000A03AA"/>
    <w:rsid w:val="000A3861"/>
    <w:rsid w:val="000A5FF2"/>
    <w:rsid w:val="000B2D04"/>
    <w:rsid w:val="000B4A6E"/>
    <w:rsid w:val="000C3B1B"/>
    <w:rsid w:val="000C7CA4"/>
    <w:rsid w:val="000D1E4F"/>
    <w:rsid w:val="000D3675"/>
    <w:rsid w:val="000D4F37"/>
    <w:rsid w:val="000D6BA7"/>
    <w:rsid w:val="000E080E"/>
    <w:rsid w:val="000E4BB0"/>
    <w:rsid w:val="000E6C5A"/>
    <w:rsid w:val="000F0DCB"/>
    <w:rsid w:val="000F5D86"/>
    <w:rsid w:val="000F66BD"/>
    <w:rsid w:val="000F6980"/>
    <w:rsid w:val="00102B86"/>
    <w:rsid w:val="001036AD"/>
    <w:rsid w:val="001041D4"/>
    <w:rsid w:val="00104EF2"/>
    <w:rsid w:val="00115E26"/>
    <w:rsid w:val="001166CF"/>
    <w:rsid w:val="00116EB8"/>
    <w:rsid w:val="00124E7F"/>
    <w:rsid w:val="001302C3"/>
    <w:rsid w:val="0014113E"/>
    <w:rsid w:val="00147D93"/>
    <w:rsid w:val="00151A77"/>
    <w:rsid w:val="00151C78"/>
    <w:rsid w:val="00154E5C"/>
    <w:rsid w:val="001575E9"/>
    <w:rsid w:val="001604D6"/>
    <w:rsid w:val="00162C99"/>
    <w:rsid w:val="001676B4"/>
    <w:rsid w:val="00173001"/>
    <w:rsid w:val="00175C0F"/>
    <w:rsid w:val="00180536"/>
    <w:rsid w:val="00182878"/>
    <w:rsid w:val="00182B78"/>
    <w:rsid w:val="00184E1D"/>
    <w:rsid w:val="00187AEB"/>
    <w:rsid w:val="001917B3"/>
    <w:rsid w:val="00193764"/>
    <w:rsid w:val="001A3367"/>
    <w:rsid w:val="001A6FC3"/>
    <w:rsid w:val="001C08B5"/>
    <w:rsid w:val="001C243F"/>
    <w:rsid w:val="001C45E7"/>
    <w:rsid w:val="001C64C6"/>
    <w:rsid w:val="001C6668"/>
    <w:rsid w:val="001D15CE"/>
    <w:rsid w:val="001D1B10"/>
    <w:rsid w:val="001D1C38"/>
    <w:rsid w:val="001D4E5E"/>
    <w:rsid w:val="001D5088"/>
    <w:rsid w:val="001D56B0"/>
    <w:rsid w:val="001D699C"/>
    <w:rsid w:val="001D6B67"/>
    <w:rsid w:val="001E365A"/>
    <w:rsid w:val="001E5E2C"/>
    <w:rsid w:val="001E678C"/>
    <w:rsid w:val="001F6B4E"/>
    <w:rsid w:val="00205215"/>
    <w:rsid w:val="00207D03"/>
    <w:rsid w:val="00215A80"/>
    <w:rsid w:val="00217A53"/>
    <w:rsid w:val="002203F3"/>
    <w:rsid w:val="00220A47"/>
    <w:rsid w:val="00222B7C"/>
    <w:rsid w:val="00226058"/>
    <w:rsid w:val="002313C0"/>
    <w:rsid w:val="00233F6A"/>
    <w:rsid w:val="002355AB"/>
    <w:rsid w:val="002418D7"/>
    <w:rsid w:val="00241E00"/>
    <w:rsid w:val="00242DEB"/>
    <w:rsid w:val="002450B1"/>
    <w:rsid w:val="00246EEF"/>
    <w:rsid w:val="002500F3"/>
    <w:rsid w:val="00251B13"/>
    <w:rsid w:val="00251F2B"/>
    <w:rsid w:val="00256B4E"/>
    <w:rsid w:val="00257F84"/>
    <w:rsid w:val="00260417"/>
    <w:rsid w:val="002615C5"/>
    <w:rsid w:val="002620D2"/>
    <w:rsid w:val="002643DE"/>
    <w:rsid w:val="00272171"/>
    <w:rsid w:val="0027400A"/>
    <w:rsid w:val="00275F66"/>
    <w:rsid w:val="00282784"/>
    <w:rsid w:val="00285877"/>
    <w:rsid w:val="00286EE0"/>
    <w:rsid w:val="0029192D"/>
    <w:rsid w:val="00291FCC"/>
    <w:rsid w:val="00294355"/>
    <w:rsid w:val="00296A2B"/>
    <w:rsid w:val="002A7358"/>
    <w:rsid w:val="002B02B2"/>
    <w:rsid w:val="002B4BF3"/>
    <w:rsid w:val="002B64AB"/>
    <w:rsid w:val="002C3757"/>
    <w:rsid w:val="002C6B65"/>
    <w:rsid w:val="002C745D"/>
    <w:rsid w:val="002D2EC2"/>
    <w:rsid w:val="002D382B"/>
    <w:rsid w:val="002D5101"/>
    <w:rsid w:val="002D611D"/>
    <w:rsid w:val="002D79A2"/>
    <w:rsid w:val="002E0BA8"/>
    <w:rsid w:val="002E37A9"/>
    <w:rsid w:val="002E582D"/>
    <w:rsid w:val="002E5ED3"/>
    <w:rsid w:val="002E6769"/>
    <w:rsid w:val="002F0911"/>
    <w:rsid w:val="002F2E94"/>
    <w:rsid w:val="002F42B6"/>
    <w:rsid w:val="00301ACF"/>
    <w:rsid w:val="0030587C"/>
    <w:rsid w:val="0031360D"/>
    <w:rsid w:val="00315F21"/>
    <w:rsid w:val="003214E2"/>
    <w:rsid w:val="00323430"/>
    <w:rsid w:val="003309A9"/>
    <w:rsid w:val="00332E2D"/>
    <w:rsid w:val="003351DF"/>
    <w:rsid w:val="00346611"/>
    <w:rsid w:val="00350138"/>
    <w:rsid w:val="0035226A"/>
    <w:rsid w:val="00352F72"/>
    <w:rsid w:val="00356B91"/>
    <w:rsid w:val="00357A3E"/>
    <w:rsid w:val="00363A27"/>
    <w:rsid w:val="0036658A"/>
    <w:rsid w:val="0036784B"/>
    <w:rsid w:val="003700CD"/>
    <w:rsid w:val="003717AA"/>
    <w:rsid w:val="00373AA1"/>
    <w:rsid w:val="003759CA"/>
    <w:rsid w:val="00381B3C"/>
    <w:rsid w:val="003A3758"/>
    <w:rsid w:val="003A45A7"/>
    <w:rsid w:val="003A59BB"/>
    <w:rsid w:val="003A5BCB"/>
    <w:rsid w:val="003B081A"/>
    <w:rsid w:val="003B10A5"/>
    <w:rsid w:val="003B2C17"/>
    <w:rsid w:val="003B33C3"/>
    <w:rsid w:val="003B3963"/>
    <w:rsid w:val="003B3C03"/>
    <w:rsid w:val="003C0351"/>
    <w:rsid w:val="003C158F"/>
    <w:rsid w:val="003C26C1"/>
    <w:rsid w:val="003C449A"/>
    <w:rsid w:val="003D25C8"/>
    <w:rsid w:val="003D26D5"/>
    <w:rsid w:val="003D52B7"/>
    <w:rsid w:val="003E2927"/>
    <w:rsid w:val="003E39E1"/>
    <w:rsid w:val="003F4ECE"/>
    <w:rsid w:val="004009CE"/>
    <w:rsid w:val="004044B8"/>
    <w:rsid w:val="00405F9F"/>
    <w:rsid w:val="00407A87"/>
    <w:rsid w:val="004213A9"/>
    <w:rsid w:val="00421945"/>
    <w:rsid w:val="00432778"/>
    <w:rsid w:val="00433DD7"/>
    <w:rsid w:val="004376C7"/>
    <w:rsid w:val="004411C5"/>
    <w:rsid w:val="00442598"/>
    <w:rsid w:val="00442ED8"/>
    <w:rsid w:val="004437BC"/>
    <w:rsid w:val="0044503E"/>
    <w:rsid w:val="00445F92"/>
    <w:rsid w:val="00453BF2"/>
    <w:rsid w:val="0045513A"/>
    <w:rsid w:val="00456AAA"/>
    <w:rsid w:val="00461E73"/>
    <w:rsid w:val="00463EB6"/>
    <w:rsid w:val="004640D4"/>
    <w:rsid w:val="004672BE"/>
    <w:rsid w:val="004716BE"/>
    <w:rsid w:val="00473704"/>
    <w:rsid w:val="00480583"/>
    <w:rsid w:val="00482317"/>
    <w:rsid w:val="00495D66"/>
    <w:rsid w:val="00496221"/>
    <w:rsid w:val="0049649A"/>
    <w:rsid w:val="00497C67"/>
    <w:rsid w:val="004A11E4"/>
    <w:rsid w:val="004A38F5"/>
    <w:rsid w:val="004A6B85"/>
    <w:rsid w:val="004B0118"/>
    <w:rsid w:val="004B0704"/>
    <w:rsid w:val="004B0A76"/>
    <w:rsid w:val="004B46F4"/>
    <w:rsid w:val="004B4782"/>
    <w:rsid w:val="004B47BC"/>
    <w:rsid w:val="004B5856"/>
    <w:rsid w:val="004C25B0"/>
    <w:rsid w:val="004C3B9D"/>
    <w:rsid w:val="004C49C6"/>
    <w:rsid w:val="004C76EF"/>
    <w:rsid w:val="004C7EE9"/>
    <w:rsid w:val="004D058D"/>
    <w:rsid w:val="004D0DCD"/>
    <w:rsid w:val="004D157F"/>
    <w:rsid w:val="004D688A"/>
    <w:rsid w:val="004E71BC"/>
    <w:rsid w:val="004E7659"/>
    <w:rsid w:val="00503FB8"/>
    <w:rsid w:val="00504717"/>
    <w:rsid w:val="00504893"/>
    <w:rsid w:val="0050631B"/>
    <w:rsid w:val="0051012C"/>
    <w:rsid w:val="00515A8E"/>
    <w:rsid w:val="00530D00"/>
    <w:rsid w:val="005319BB"/>
    <w:rsid w:val="00531B0F"/>
    <w:rsid w:val="00535A33"/>
    <w:rsid w:val="00540EB9"/>
    <w:rsid w:val="00545EB6"/>
    <w:rsid w:val="00547E32"/>
    <w:rsid w:val="00553F93"/>
    <w:rsid w:val="00554D94"/>
    <w:rsid w:val="005561DA"/>
    <w:rsid w:val="00556CCD"/>
    <w:rsid w:val="00560AA7"/>
    <w:rsid w:val="0056206E"/>
    <w:rsid w:val="00563B40"/>
    <w:rsid w:val="005648DB"/>
    <w:rsid w:val="0056505F"/>
    <w:rsid w:val="0056644A"/>
    <w:rsid w:val="005664D7"/>
    <w:rsid w:val="00574FD8"/>
    <w:rsid w:val="00577BCB"/>
    <w:rsid w:val="00583A22"/>
    <w:rsid w:val="0058411E"/>
    <w:rsid w:val="00595BA6"/>
    <w:rsid w:val="00596799"/>
    <w:rsid w:val="00596BFA"/>
    <w:rsid w:val="005A0310"/>
    <w:rsid w:val="005A7409"/>
    <w:rsid w:val="005A79BC"/>
    <w:rsid w:val="005B0244"/>
    <w:rsid w:val="005B17E4"/>
    <w:rsid w:val="005B567C"/>
    <w:rsid w:val="005B57CA"/>
    <w:rsid w:val="005B743A"/>
    <w:rsid w:val="005C1BA6"/>
    <w:rsid w:val="005C2918"/>
    <w:rsid w:val="005C318B"/>
    <w:rsid w:val="005C31C2"/>
    <w:rsid w:val="005C4383"/>
    <w:rsid w:val="005C4513"/>
    <w:rsid w:val="005C4787"/>
    <w:rsid w:val="005C638A"/>
    <w:rsid w:val="005C650D"/>
    <w:rsid w:val="005C6D25"/>
    <w:rsid w:val="005D0D4B"/>
    <w:rsid w:val="005D316E"/>
    <w:rsid w:val="005D5658"/>
    <w:rsid w:val="005D6D2D"/>
    <w:rsid w:val="005E2549"/>
    <w:rsid w:val="005F05DE"/>
    <w:rsid w:val="005F47C5"/>
    <w:rsid w:val="00605FBC"/>
    <w:rsid w:val="00613476"/>
    <w:rsid w:val="006176B1"/>
    <w:rsid w:val="0062238E"/>
    <w:rsid w:val="00623B0F"/>
    <w:rsid w:val="00624113"/>
    <w:rsid w:val="00627A7E"/>
    <w:rsid w:val="00627C05"/>
    <w:rsid w:val="00631C69"/>
    <w:rsid w:val="006413FD"/>
    <w:rsid w:val="00642599"/>
    <w:rsid w:val="00642854"/>
    <w:rsid w:val="006455ED"/>
    <w:rsid w:val="0065079C"/>
    <w:rsid w:val="00650FC5"/>
    <w:rsid w:val="0065522C"/>
    <w:rsid w:val="00656840"/>
    <w:rsid w:val="006620F6"/>
    <w:rsid w:val="0066623F"/>
    <w:rsid w:val="00670F02"/>
    <w:rsid w:val="0067165C"/>
    <w:rsid w:val="00676147"/>
    <w:rsid w:val="006766C1"/>
    <w:rsid w:val="00677EF0"/>
    <w:rsid w:val="00682077"/>
    <w:rsid w:val="00682340"/>
    <w:rsid w:val="00684BA4"/>
    <w:rsid w:val="00691361"/>
    <w:rsid w:val="006914C6"/>
    <w:rsid w:val="0069210F"/>
    <w:rsid w:val="00693707"/>
    <w:rsid w:val="00697429"/>
    <w:rsid w:val="006B40EB"/>
    <w:rsid w:val="006B53C0"/>
    <w:rsid w:val="006B69A2"/>
    <w:rsid w:val="006C0C08"/>
    <w:rsid w:val="006C1FF4"/>
    <w:rsid w:val="006C2953"/>
    <w:rsid w:val="006C6747"/>
    <w:rsid w:val="006C6CA2"/>
    <w:rsid w:val="006D1027"/>
    <w:rsid w:val="006D18C6"/>
    <w:rsid w:val="006D4BBF"/>
    <w:rsid w:val="006D6B6F"/>
    <w:rsid w:val="006D76AE"/>
    <w:rsid w:val="006D79CD"/>
    <w:rsid w:val="006E1220"/>
    <w:rsid w:val="006E196A"/>
    <w:rsid w:val="006E7793"/>
    <w:rsid w:val="006F61B1"/>
    <w:rsid w:val="0070176F"/>
    <w:rsid w:val="0070440E"/>
    <w:rsid w:val="007056D8"/>
    <w:rsid w:val="00706765"/>
    <w:rsid w:val="00707FF0"/>
    <w:rsid w:val="00711985"/>
    <w:rsid w:val="00713C89"/>
    <w:rsid w:val="00714F98"/>
    <w:rsid w:val="00715203"/>
    <w:rsid w:val="007200FB"/>
    <w:rsid w:val="0072145E"/>
    <w:rsid w:val="00723E5E"/>
    <w:rsid w:val="007305CD"/>
    <w:rsid w:val="007318A9"/>
    <w:rsid w:val="007321E9"/>
    <w:rsid w:val="00733BAA"/>
    <w:rsid w:val="00733EF0"/>
    <w:rsid w:val="00733F4E"/>
    <w:rsid w:val="00735464"/>
    <w:rsid w:val="00735DD9"/>
    <w:rsid w:val="00744A9D"/>
    <w:rsid w:val="0075352B"/>
    <w:rsid w:val="00754314"/>
    <w:rsid w:val="00760425"/>
    <w:rsid w:val="00761DC4"/>
    <w:rsid w:val="00761DC5"/>
    <w:rsid w:val="0076426A"/>
    <w:rsid w:val="007647FC"/>
    <w:rsid w:val="00772415"/>
    <w:rsid w:val="007746B3"/>
    <w:rsid w:val="00775F2A"/>
    <w:rsid w:val="00780D7E"/>
    <w:rsid w:val="00780F5D"/>
    <w:rsid w:val="007905C8"/>
    <w:rsid w:val="0079073A"/>
    <w:rsid w:val="007918E5"/>
    <w:rsid w:val="007928FB"/>
    <w:rsid w:val="0079344F"/>
    <w:rsid w:val="0079396D"/>
    <w:rsid w:val="00793DD6"/>
    <w:rsid w:val="00793FD9"/>
    <w:rsid w:val="007A14F3"/>
    <w:rsid w:val="007A323D"/>
    <w:rsid w:val="007A3E5D"/>
    <w:rsid w:val="007A73B1"/>
    <w:rsid w:val="007B16A7"/>
    <w:rsid w:val="007B2D1D"/>
    <w:rsid w:val="007B412B"/>
    <w:rsid w:val="007B52E0"/>
    <w:rsid w:val="007B6EFF"/>
    <w:rsid w:val="007C02F3"/>
    <w:rsid w:val="007C2B2B"/>
    <w:rsid w:val="007C72DA"/>
    <w:rsid w:val="007D5E3F"/>
    <w:rsid w:val="007D5EED"/>
    <w:rsid w:val="007D60F2"/>
    <w:rsid w:val="007D74D2"/>
    <w:rsid w:val="007E6840"/>
    <w:rsid w:val="007E796D"/>
    <w:rsid w:val="007F09EF"/>
    <w:rsid w:val="007F67B0"/>
    <w:rsid w:val="008010DD"/>
    <w:rsid w:val="00801BC5"/>
    <w:rsid w:val="00802B45"/>
    <w:rsid w:val="0080397C"/>
    <w:rsid w:val="0080649C"/>
    <w:rsid w:val="00811079"/>
    <w:rsid w:val="0081244C"/>
    <w:rsid w:val="00815494"/>
    <w:rsid w:val="00816DEC"/>
    <w:rsid w:val="00817204"/>
    <w:rsid w:val="008264AE"/>
    <w:rsid w:val="00830DD5"/>
    <w:rsid w:val="008333E3"/>
    <w:rsid w:val="008403D9"/>
    <w:rsid w:val="00842AE8"/>
    <w:rsid w:val="008452AD"/>
    <w:rsid w:val="008454FA"/>
    <w:rsid w:val="00854190"/>
    <w:rsid w:val="0085581C"/>
    <w:rsid w:val="00855CFF"/>
    <w:rsid w:val="0085619D"/>
    <w:rsid w:val="00857343"/>
    <w:rsid w:val="00863712"/>
    <w:rsid w:val="0086507F"/>
    <w:rsid w:val="00866A8B"/>
    <w:rsid w:val="00866D64"/>
    <w:rsid w:val="00867E4C"/>
    <w:rsid w:val="00875D04"/>
    <w:rsid w:val="00876FD6"/>
    <w:rsid w:val="00877235"/>
    <w:rsid w:val="00880046"/>
    <w:rsid w:val="0088297F"/>
    <w:rsid w:val="00886227"/>
    <w:rsid w:val="00891C9A"/>
    <w:rsid w:val="008956A4"/>
    <w:rsid w:val="008A544F"/>
    <w:rsid w:val="008B241B"/>
    <w:rsid w:val="008B53BC"/>
    <w:rsid w:val="008B700D"/>
    <w:rsid w:val="008B735B"/>
    <w:rsid w:val="008C038F"/>
    <w:rsid w:val="008C25C1"/>
    <w:rsid w:val="008C2959"/>
    <w:rsid w:val="008C3FB1"/>
    <w:rsid w:val="008D0D2A"/>
    <w:rsid w:val="008D5CDF"/>
    <w:rsid w:val="008E4ECC"/>
    <w:rsid w:val="008E4F9F"/>
    <w:rsid w:val="008F05EE"/>
    <w:rsid w:val="008F13A1"/>
    <w:rsid w:val="008F1E81"/>
    <w:rsid w:val="009003C6"/>
    <w:rsid w:val="00903E74"/>
    <w:rsid w:val="00904030"/>
    <w:rsid w:val="009041A0"/>
    <w:rsid w:val="00904D6D"/>
    <w:rsid w:val="00905BD5"/>
    <w:rsid w:val="009077C0"/>
    <w:rsid w:val="009109A1"/>
    <w:rsid w:val="00911A84"/>
    <w:rsid w:val="0091665D"/>
    <w:rsid w:val="009177C7"/>
    <w:rsid w:val="00917FD4"/>
    <w:rsid w:val="00922673"/>
    <w:rsid w:val="00923E0D"/>
    <w:rsid w:val="00924060"/>
    <w:rsid w:val="00925099"/>
    <w:rsid w:val="00925441"/>
    <w:rsid w:val="00925939"/>
    <w:rsid w:val="009300BA"/>
    <w:rsid w:val="00933C9E"/>
    <w:rsid w:val="00934E17"/>
    <w:rsid w:val="00945779"/>
    <w:rsid w:val="00950718"/>
    <w:rsid w:val="00951A62"/>
    <w:rsid w:val="00962E70"/>
    <w:rsid w:val="00970CE1"/>
    <w:rsid w:val="00970DD8"/>
    <w:rsid w:val="009712E7"/>
    <w:rsid w:val="0097287A"/>
    <w:rsid w:val="00976833"/>
    <w:rsid w:val="00977F48"/>
    <w:rsid w:val="00983E32"/>
    <w:rsid w:val="0098533D"/>
    <w:rsid w:val="009930EF"/>
    <w:rsid w:val="00993A05"/>
    <w:rsid w:val="009941DC"/>
    <w:rsid w:val="0099778A"/>
    <w:rsid w:val="009A0432"/>
    <w:rsid w:val="009A18D3"/>
    <w:rsid w:val="009A21D2"/>
    <w:rsid w:val="009A3EE9"/>
    <w:rsid w:val="009A5123"/>
    <w:rsid w:val="009A7B50"/>
    <w:rsid w:val="009B681B"/>
    <w:rsid w:val="009B6F4D"/>
    <w:rsid w:val="009D08E4"/>
    <w:rsid w:val="009D1B32"/>
    <w:rsid w:val="009E1933"/>
    <w:rsid w:val="009E5B8A"/>
    <w:rsid w:val="009F06C8"/>
    <w:rsid w:val="009F14CD"/>
    <w:rsid w:val="009F7EC8"/>
    <w:rsid w:val="00A0149A"/>
    <w:rsid w:val="00A0566B"/>
    <w:rsid w:val="00A10A1C"/>
    <w:rsid w:val="00A10E45"/>
    <w:rsid w:val="00A125EE"/>
    <w:rsid w:val="00A13BBA"/>
    <w:rsid w:val="00A15C02"/>
    <w:rsid w:val="00A224EA"/>
    <w:rsid w:val="00A25072"/>
    <w:rsid w:val="00A2508E"/>
    <w:rsid w:val="00A25C75"/>
    <w:rsid w:val="00A27779"/>
    <w:rsid w:val="00A3035D"/>
    <w:rsid w:val="00A47913"/>
    <w:rsid w:val="00A52A2A"/>
    <w:rsid w:val="00A573F3"/>
    <w:rsid w:val="00A5752D"/>
    <w:rsid w:val="00A623EF"/>
    <w:rsid w:val="00A62B32"/>
    <w:rsid w:val="00A6656B"/>
    <w:rsid w:val="00A678CC"/>
    <w:rsid w:val="00A72469"/>
    <w:rsid w:val="00A7269F"/>
    <w:rsid w:val="00A80732"/>
    <w:rsid w:val="00A81A19"/>
    <w:rsid w:val="00A81D58"/>
    <w:rsid w:val="00A83FEA"/>
    <w:rsid w:val="00A84C71"/>
    <w:rsid w:val="00A9561C"/>
    <w:rsid w:val="00A96727"/>
    <w:rsid w:val="00A96D7D"/>
    <w:rsid w:val="00AA0794"/>
    <w:rsid w:val="00AA22A8"/>
    <w:rsid w:val="00AB1542"/>
    <w:rsid w:val="00AC345C"/>
    <w:rsid w:val="00AC52CC"/>
    <w:rsid w:val="00AC7B72"/>
    <w:rsid w:val="00AD072A"/>
    <w:rsid w:val="00AD3783"/>
    <w:rsid w:val="00AE2727"/>
    <w:rsid w:val="00AE3720"/>
    <w:rsid w:val="00AE479F"/>
    <w:rsid w:val="00AE5161"/>
    <w:rsid w:val="00AE6A03"/>
    <w:rsid w:val="00AE7D88"/>
    <w:rsid w:val="00AF1A09"/>
    <w:rsid w:val="00AF56C5"/>
    <w:rsid w:val="00AF6C55"/>
    <w:rsid w:val="00B00F7B"/>
    <w:rsid w:val="00B101DA"/>
    <w:rsid w:val="00B10551"/>
    <w:rsid w:val="00B12D40"/>
    <w:rsid w:val="00B15017"/>
    <w:rsid w:val="00B1647A"/>
    <w:rsid w:val="00B176CF"/>
    <w:rsid w:val="00B17DF6"/>
    <w:rsid w:val="00B254C6"/>
    <w:rsid w:val="00B326EE"/>
    <w:rsid w:val="00B363CA"/>
    <w:rsid w:val="00B420AF"/>
    <w:rsid w:val="00B43D5E"/>
    <w:rsid w:val="00B451EA"/>
    <w:rsid w:val="00B4667D"/>
    <w:rsid w:val="00B5329C"/>
    <w:rsid w:val="00B538A5"/>
    <w:rsid w:val="00B56EC1"/>
    <w:rsid w:val="00B60070"/>
    <w:rsid w:val="00B64AD1"/>
    <w:rsid w:val="00B701AE"/>
    <w:rsid w:val="00B70FB8"/>
    <w:rsid w:val="00B71073"/>
    <w:rsid w:val="00B741D7"/>
    <w:rsid w:val="00B75074"/>
    <w:rsid w:val="00B768BE"/>
    <w:rsid w:val="00B774C0"/>
    <w:rsid w:val="00B8030D"/>
    <w:rsid w:val="00B803E4"/>
    <w:rsid w:val="00B83C8A"/>
    <w:rsid w:val="00B852DD"/>
    <w:rsid w:val="00B92DDB"/>
    <w:rsid w:val="00BA7916"/>
    <w:rsid w:val="00BA79CA"/>
    <w:rsid w:val="00BB1BEA"/>
    <w:rsid w:val="00BB4FFF"/>
    <w:rsid w:val="00BB5C53"/>
    <w:rsid w:val="00BB5FAE"/>
    <w:rsid w:val="00BB7280"/>
    <w:rsid w:val="00BB76B3"/>
    <w:rsid w:val="00BB7A16"/>
    <w:rsid w:val="00BC418E"/>
    <w:rsid w:val="00BC4880"/>
    <w:rsid w:val="00BC4BD9"/>
    <w:rsid w:val="00BD512D"/>
    <w:rsid w:val="00BE0382"/>
    <w:rsid w:val="00BE1705"/>
    <w:rsid w:val="00BE2229"/>
    <w:rsid w:val="00BE317D"/>
    <w:rsid w:val="00BE51B2"/>
    <w:rsid w:val="00BE68AC"/>
    <w:rsid w:val="00BF0512"/>
    <w:rsid w:val="00BF6D1A"/>
    <w:rsid w:val="00C062B9"/>
    <w:rsid w:val="00C1037D"/>
    <w:rsid w:val="00C12DB0"/>
    <w:rsid w:val="00C14123"/>
    <w:rsid w:val="00C14446"/>
    <w:rsid w:val="00C24A09"/>
    <w:rsid w:val="00C2679B"/>
    <w:rsid w:val="00C26884"/>
    <w:rsid w:val="00C26A96"/>
    <w:rsid w:val="00C333F2"/>
    <w:rsid w:val="00C35F00"/>
    <w:rsid w:val="00C45A9B"/>
    <w:rsid w:val="00C55162"/>
    <w:rsid w:val="00C56D9B"/>
    <w:rsid w:val="00C62031"/>
    <w:rsid w:val="00C643AB"/>
    <w:rsid w:val="00C75621"/>
    <w:rsid w:val="00C840A7"/>
    <w:rsid w:val="00C8514A"/>
    <w:rsid w:val="00C9008B"/>
    <w:rsid w:val="00C929D3"/>
    <w:rsid w:val="00C946D5"/>
    <w:rsid w:val="00C94F70"/>
    <w:rsid w:val="00C95F54"/>
    <w:rsid w:val="00CA0983"/>
    <w:rsid w:val="00CA42CC"/>
    <w:rsid w:val="00CB2392"/>
    <w:rsid w:val="00CB7518"/>
    <w:rsid w:val="00CC5056"/>
    <w:rsid w:val="00CD0A6A"/>
    <w:rsid w:val="00CD0CA3"/>
    <w:rsid w:val="00CD100B"/>
    <w:rsid w:val="00CD1BF1"/>
    <w:rsid w:val="00CD3130"/>
    <w:rsid w:val="00CD79D4"/>
    <w:rsid w:val="00CE6837"/>
    <w:rsid w:val="00CF4220"/>
    <w:rsid w:val="00CF548A"/>
    <w:rsid w:val="00D023B6"/>
    <w:rsid w:val="00D10B86"/>
    <w:rsid w:val="00D11B91"/>
    <w:rsid w:val="00D13004"/>
    <w:rsid w:val="00D14E5C"/>
    <w:rsid w:val="00D15F2F"/>
    <w:rsid w:val="00D16783"/>
    <w:rsid w:val="00D209EE"/>
    <w:rsid w:val="00D23391"/>
    <w:rsid w:val="00D3463C"/>
    <w:rsid w:val="00D35B72"/>
    <w:rsid w:val="00D36101"/>
    <w:rsid w:val="00D47663"/>
    <w:rsid w:val="00D528A5"/>
    <w:rsid w:val="00D547BA"/>
    <w:rsid w:val="00D564FE"/>
    <w:rsid w:val="00D77AA8"/>
    <w:rsid w:val="00D82468"/>
    <w:rsid w:val="00D82B54"/>
    <w:rsid w:val="00D8484E"/>
    <w:rsid w:val="00D85C0A"/>
    <w:rsid w:val="00D87605"/>
    <w:rsid w:val="00D9158B"/>
    <w:rsid w:val="00D93AD1"/>
    <w:rsid w:val="00D9577F"/>
    <w:rsid w:val="00D95D01"/>
    <w:rsid w:val="00DA25ED"/>
    <w:rsid w:val="00DA261B"/>
    <w:rsid w:val="00DA2B52"/>
    <w:rsid w:val="00DA4EB1"/>
    <w:rsid w:val="00DA4F27"/>
    <w:rsid w:val="00DA67FA"/>
    <w:rsid w:val="00DA799F"/>
    <w:rsid w:val="00DB1970"/>
    <w:rsid w:val="00DB22B3"/>
    <w:rsid w:val="00DB278A"/>
    <w:rsid w:val="00DB5F6E"/>
    <w:rsid w:val="00DC053C"/>
    <w:rsid w:val="00DC53C7"/>
    <w:rsid w:val="00DD0366"/>
    <w:rsid w:val="00DE46C3"/>
    <w:rsid w:val="00DE5FBB"/>
    <w:rsid w:val="00DE77D2"/>
    <w:rsid w:val="00DF1005"/>
    <w:rsid w:val="00DF157A"/>
    <w:rsid w:val="00DF41B8"/>
    <w:rsid w:val="00DF6FEB"/>
    <w:rsid w:val="00E011F6"/>
    <w:rsid w:val="00E05496"/>
    <w:rsid w:val="00E0636F"/>
    <w:rsid w:val="00E06A89"/>
    <w:rsid w:val="00E129D6"/>
    <w:rsid w:val="00E14252"/>
    <w:rsid w:val="00E14451"/>
    <w:rsid w:val="00E16B16"/>
    <w:rsid w:val="00E20D70"/>
    <w:rsid w:val="00E22900"/>
    <w:rsid w:val="00E2633D"/>
    <w:rsid w:val="00E27972"/>
    <w:rsid w:val="00E27AAD"/>
    <w:rsid w:val="00E30723"/>
    <w:rsid w:val="00E31298"/>
    <w:rsid w:val="00E340E9"/>
    <w:rsid w:val="00E34877"/>
    <w:rsid w:val="00E37D38"/>
    <w:rsid w:val="00E4018E"/>
    <w:rsid w:val="00E40615"/>
    <w:rsid w:val="00E5189B"/>
    <w:rsid w:val="00E51BE1"/>
    <w:rsid w:val="00E5278C"/>
    <w:rsid w:val="00E53C00"/>
    <w:rsid w:val="00E53C6E"/>
    <w:rsid w:val="00E54574"/>
    <w:rsid w:val="00E627ED"/>
    <w:rsid w:val="00E63620"/>
    <w:rsid w:val="00E64124"/>
    <w:rsid w:val="00E6654D"/>
    <w:rsid w:val="00E67D65"/>
    <w:rsid w:val="00E71653"/>
    <w:rsid w:val="00E71DB2"/>
    <w:rsid w:val="00E723CE"/>
    <w:rsid w:val="00E749ED"/>
    <w:rsid w:val="00E80501"/>
    <w:rsid w:val="00E82749"/>
    <w:rsid w:val="00E83A30"/>
    <w:rsid w:val="00E84647"/>
    <w:rsid w:val="00E86936"/>
    <w:rsid w:val="00E90943"/>
    <w:rsid w:val="00E926B1"/>
    <w:rsid w:val="00E92EEE"/>
    <w:rsid w:val="00E97314"/>
    <w:rsid w:val="00EA4508"/>
    <w:rsid w:val="00EA66ED"/>
    <w:rsid w:val="00EA6AC9"/>
    <w:rsid w:val="00EA7D52"/>
    <w:rsid w:val="00EB00BC"/>
    <w:rsid w:val="00EB12D0"/>
    <w:rsid w:val="00EB16E7"/>
    <w:rsid w:val="00EB51C8"/>
    <w:rsid w:val="00EB52CB"/>
    <w:rsid w:val="00EB7D29"/>
    <w:rsid w:val="00EC12F3"/>
    <w:rsid w:val="00EC1CCF"/>
    <w:rsid w:val="00EC5C6A"/>
    <w:rsid w:val="00ED1C94"/>
    <w:rsid w:val="00ED7A95"/>
    <w:rsid w:val="00EE0544"/>
    <w:rsid w:val="00EE4618"/>
    <w:rsid w:val="00EE778E"/>
    <w:rsid w:val="00EF2B6A"/>
    <w:rsid w:val="00EF4B6C"/>
    <w:rsid w:val="00F004B1"/>
    <w:rsid w:val="00F01C20"/>
    <w:rsid w:val="00F10AE8"/>
    <w:rsid w:val="00F10C8F"/>
    <w:rsid w:val="00F22214"/>
    <w:rsid w:val="00F2372B"/>
    <w:rsid w:val="00F245FC"/>
    <w:rsid w:val="00F2775C"/>
    <w:rsid w:val="00F32DAA"/>
    <w:rsid w:val="00F3350D"/>
    <w:rsid w:val="00F34BCD"/>
    <w:rsid w:val="00F35C03"/>
    <w:rsid w:val="00F37491"/>
    <w:rsid w:val="00F40A8E"/>
    <w:rsid w:val="00F44FBB"/>
    <w:rsid w:val="00F500F6"/>
    <w:rsid w:val="00F5427B"/>
    <w:rsid w:val="00F605F6"/>
    <w:rsid w:val="00F6366C"/>
    <w:rsid w:val="00F6486F"/>
    <w:rsid w:val="00F64E3B"/>
    <w:rsid w:val="00F67933"/>
    <w:rsid w:val="00F67D75"/>
    <w:rsid w:val="00F73205"/>
    <w:rsid w:val="00F75829"/>
    <w:rsid w:val="00F77799"/>
    <w:rsid w:val="00F8061B"/>
    <w:rsid w:val="00F835FA"/>
    <w:rsid w:val="00F83750"/>
    <w:rsid w:val="00F84E5D"/>
    <w:rsid w:val="00F906E6"/>
    <w:rsid w:val="00F92E99"/>
    <w:rsid w:val="00F92F03"/>
    <w:rsid w:val="00FA07A4"/>
    <w:rsid w:val="00FA4A67"/>
    <w:rsid w:val="00FA501C"/>
    <w:rsid w:val="00FA7348"/>
    <w:rsid w:val="00FA7FDC"/>
    <w:rsid w:val="00FB1502"/>
    <w:rsid w:val="00FB6019"/>
    <w:rsid w:val="00FC061F"/>
    <w:rsid w:val="00FC2E34"/>
    <w:rsid w:val="00FC2E4D"/>
    <w:rsid w:val="00FC59DA"/>
    <w:rsid w:val="00FC79FD"/>
    <w:rsid w:val="00FD0648"/>
    <w:rsid w:val="00FD13ED"/>
    <w:rsid w:val="00FD59B3"/>
    <w:rsid w:val="00FE1C34"/>
    <w:rsid w:val="00FE34E3"/>
    <w:rsid w:val="00FE4AF2"/>
    <w:rsid w:val="00FE6312"/>
    <w:rsid w:val="00FE7DEA"/>
    <w:rsid w:val="00FF1109"/>
    <w:rsid w:val="00FF30BC"/>
    <w:rsid w:val="00FF3F28"/>
    <w:rsid w:val="00FF44A7"/>
    <w:rsid w:val="00FF4E7E"/>
    <w:rsid w:val="00FF7B8D"/>
    <w:rsid w:val="12B3EE8C"/>
    <w:rsid w:val="27CF720D"/>
    <w:rsid w:val="28DD1425"/>
    <w:rsid w:val="3E444DF5"/>
    <w:rsid w:val="3FB792A0"/>
    <w:rsid w:val="57FFF6E2"/>
    <w:rsid w:val="677D5B8F"/>
    <w:rsid w:val="759447DC"/>
    <w:rsid w:val="DFF7960D"/>
    <w:rsid w:val="EDBE9302"/>
    <w:rsid w:val="EFFD31B8"/>
    <w:rsid w:val="FF6EBC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jc w:val="center"/>
      <w:outlineLvl w:val="0"/>
    </w:pPr>
    <w:rPr>
      <w:rFonts w:ascii="Times New Roman" w:hAnsi="Times New Roman" w:eastAsia="宋体" w:cs="Times New Roman"/>
      <w:b/>
      <w:bCs/>
      <w:kern w:val="44"/>
      <w:sz w:val="36"/>
      <w:szCs w:val="32"/>
    </w:rPr>
  </w:style>
  <w:style w:type="paragraph" w:styleId="3">
    <w:name w:val="heading 2"/>
    <w:basedOn w:val="1"/>
    <w:next w:val="1"/>
    <w:link w:val="5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18"/>
    <w:semiHidden/>
    <w:unhideWhenUsed/>
    <w:qFormat/>
    <w:uiPriority w:val="99"/>
    <w:pPr>
      <w:jc w:val="left"/>
    </w:pPr>
  </w:style>
  <w:style w:type="paragraph" w:styleId="7">
    <w:name w:val="Balloon Text"/>
    <w:basedOn w:val="1"/>
    <w:link w:val="19"/>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6"/>
    <w:next w:val="6"/>
    <w:link w:val="22"/>
    <w:semiHidden/>
    <w:unhideWhenUsed/>
    <w:qFormat/>
    <w:uiPriority w:val="99"/>
    <w:rPr>
      <w:b/>
      <w:bCs/>
    </w:rPr>
  </w:style>
  <w:style w:type="table" w:styleId="12">
    <w:name w:val="Table Grid"/>
    <w:basedOn w:val="11"/>
    <w:unhideWhenUsed/>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FollowedHyperlink"/>
    <w:basedOn w:val="13"/>
    <w:semiHidden/>
    <w:unhideWhenUsed/>
    <w:qFormat/>
    <w:uiPriority w:val="99"/>
    <w:rPr>
      <w:color w:val="800080"/>
      <w:u w:val="single"/>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标题 1 字符"/>
    <w:basedOn w:val="13"/>
    <w:link w:val="2"/>
    <w:qFormat/>
    <w:uiPriority w:val="9"/>
    <w:rPr>
      <w:rFonts w:ascii="Times New Roman" w:hAnsi="Times New Roman" w:eastAsia="宋体" w:cs="Times New Roman"/>
      <w:b/>
      <w:bCs/>
      <w:kern w:val="44"/>
      <w:sz w:val="36"/>
      <w:szCs w:val="32"/>
    </w:rPr>
  </w:style>
  <w:style w:type="character" w:customStyle="1" w:styleId="18">
    <w:name w:val="批注文字 字符"/>
    <w:basedOn w:val="13"/>
    <w:link w:val="6"/>
    <w:semiHidden/>
    <w:qFormat/>
    <w:uiPriority w:val="99"/>
  </w:style>
  <w:style w:type="character" w:customStyle="1" w:styleId="19">
    <w:name w:val="批注框文本 字符"/>
    <w:basedOn w:val="13"/>
    <w:link w:val="7"/>
    <w:semiHidden/>
    <w:qFormat/>
    <w:uiPriority w:val="99"/>
    <w:rPr>
      <w:sz w:val="18"/>
      <w:szCs w:val="18"/>
    </w:rPr>
  </w:style>
  <w:style w:type="character" w:customStyle="1" w:styleId="20">
    <w:name w:val="页脚 字符"/>
    <w:basedOn w:val="13"/>
    <w:link w:val="8"/>
    <w:qFormat/>
    <w:uiPriority w:val="99"/>
    <w:rPr>
      <w:sz w:val="18"/>
      <w:szCs w:val="18"/>
    </w:rPr>
  </w:style>
  <w:style w:type="character" w:customStyle="1" w:styleId="21">
    <w:name w:val="页眉 字符"/>
    <w:basedOn w:val="13"/>
    <w:link w:val="9"/>
    <w:qFormat/>
    <w:uiPriority w:val="99"/>
    <w:rPr>
      <w:sz w:val="18"/>
      <w:szCs w:val="18"/>
    </w:rPr>
  </w:style>
  <w:style w:type="character" w:customStyle="1" w:styleId="22">
    <w:name w:val="批注主题 字符"/>
    <w:basedOn w:val="18"/>
    <w:link w:val="10"/>
    <w:semiHidden/>
    <w:qFormat/>
    <w:uiPriority w:val="99"/>
    <w:rPr>
      <w:b/>
      <w:bCs/>
    </w:rPr>
  </w:style>
  <w:style w:type="paragraph" w:styleId="23">
    <w:name w:val="List Paragraph"/>
    <w:basedOn w:val="1"/>
    <w:qFormat/>
    <w:uiPriority w:val="34"/>
    <w:pPr>
      <w:ind w:firstLine="420" w:firstLineChars="200"/>
    </w:pPr>
  </w:style>
  <w:style w:type="paragraph" w:customStyle="1" w:styleId="24">
    <w:name w:val="font5"/>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25">
    <w:name w:val="font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6">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7">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29">
    <w:name w:val="font1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0">
    <w:name w:val="font11"/>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1">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2">
    <w:name w:val="xl6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000000"/>
      <w:kern w:val="0"/>
      <w:sz w:val="24"/>
      <w:szCs w:val="24"/>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3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宋体" w:cs="Times New Roman"/>
      <w:kern w:val="0"/>
      <w:sz w:val="24"/>
      <w:szCs w:val="24"/>
    </w:rPr>
  </w:style>
  <w:style w:type="paragraph" w:customStyle="1" w:styleId="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color w:val="FF0000"/>
      <w:kern w:val="0"/>
      <w:sz w:val="24"/>
      <w:szCs w:val="24"/>
    </w:rPr>
  </w:style>
  <w:style w:type="paragraph" w:customStyle="1" w:styleId="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44">
    <w:name w:val="xl78"/>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45">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6">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48">
    <w:name w:val="xl8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9">
    <w:name w:val="xl83"/>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5">
    <w:name w:val="段 Char"/>
    <w:link w:val="54"/>
    <w:qFormat/>
    <w:uiPriority w:val="0"/>
    <w:rPr>
      <w:rFonts w:ascii="宋体" w:hAnsi="Times New Roman" w:eastAsia="宋体" w:cs="Times New Roman"/>
      <w:kern w:val="0"/>
      <w:szCs w:val="20"/>
    </w:rPr>
  </w:style>
  <w:style w:type="character" w:customStyle="1" w:styleId="56">
    <w:name w:val="标题 2 字符"/>
    <w:basedOn w:val="13"/>
    <w:link w:val="3"/>
    <w:qFormat/>
    <w:uiPriority w:val="9"/>
    <w:rPr>
      <w:rFonts w:asciiTheme="majorHAnsi" w:hAnsiTheme="majorHAnsi" w:eastAsiaTheme="majorEastAsia" w:cstheme="majorBidi"/>
      <w:b/>
      <w:bCs/>
      <w:kern w:val="2"/>
      <w:sz w:val="32"/>
      <w:szCs w:val="32"/>
    </w:rPr>
  </w:style>
  <w:style w:type="character" w:customStyle="1" w:styleId="57">
    <w:name w:val="标题 3 字符"/>
    <w:basedOn w:val="13"/>
    <w:link w:val="4"/>
    <w:qFormat/>
    <w:uiPriority w:val="9"/>
    <w:rPr>
      <w:b/>
      <w:bCs/>
      <w:kern w:val="2"/>
      <w:sz w:val="32"/>
      <w:szCs w:val="32"/>
    </w:rPr>
  </w:style>
  <w:style w:type="character" w:customStyle="1" w:styleId="58">
    <w:name w:val="标题 4 字符"/>
    <w:basedOn w:val="13"/>
    <w:link w:val="5"/>
    <w:qFormat/>
    <w:uiPriority w:val="9"/>
    <w:rPr>
      <w:rFonts w:asciiTheme="majorHAnsi" w:hAnsiTheme="majorHAnsi" w:eastAsiaTheme="majorEastAsia" w:cstheme="majorBidi"/>
      <w:b/>
      <w:bCs/>
      <w:kern w:val="2"/>
      <w:sz w:val="28"/>
      <w:szCs w:val="28"/>
    </w:rPr>
  </w:style>
  <w:style w:type="paragraph" w:customStyle="1" w:styleId="59">
    <w:name w:val="样式1"/>
    <w:basedOn w:val="1"/>
    <w:link w:val="60"/>
    <w:qFormat/>
    <w:uiPriority w:val="0"/>
    <w:pPr>
      <w:widowControl/>
      <w:spacing w:line="400" w:lineRule="exact"/>
      <w:ind w:firstLine="200" w:firstLineChars="200"/>
      <w:jc w:val="left"/>
    </w:pPr>
    <w:rPr>
      <w:sz w:val="22"/>
    </w:rPr>
  </w:style>
  <w:style w:type="character" w:customStyle="1" w:styleId="60">
    <w:name w:val="样式1 字符"/>
    <w:basedOn w:val="13"/>
    <w:link w:val="59"/>
    <w:qFormat/>
    <w:uiPriority w:val="0"/>
    <w:rPr>
      <w:kern w:val="2"/>
      <w:sz w:val="22"/>
      <w:szCs w:val="22"/>
    </w:rPr>
  </w:style>
  <w:style w:type="paragraph" w:customStyle="1" w:styleId="61">
    <w:name w:val="样式2"/>
    <w:basedOn w:val="1"/>
    <w:link w:val="62"/>
    <w:qFormat/>
    <w:uiPriority w:val="0"/>
    <w:pPr>
      <w:spacing w:line="400" w:lineRule="exact"/>
      <w:ind w:firstLine="200" w:firstLineChars="200"/>
      <w:jc w:val="center"/>
    </w:pPr>
    <w:rPr>
      <w:b/>
      <w:bCs/>
      <w:sz w:val="22"/>
      <w:szCs w:val="30"/>
    </w:rPr>
  </w:style>
  <w:style w:type="character" w:customStyle="1" w:styleId="62">
    <w:name w:val="样式2 字符"/>
    <w:basedOn w:val="13"/>
    <w:link w:val="61"/>
    <w:qFormat/>
    <w:uiPriority w:val="0"/>
    <w:rPr>
      <w:b/>
      <w:bCs/>
      <w:kern w:val="2"/>
      <w:sz w:val="22"/>
      <w:szCs w:val="30"/>
    </w:rPr>
  </w:style>
  <w:style w:type="character" w:customStyle="1" w:styleId="63">
    <w:name w:val="font01"/>
    <w:basedOn w:val="13"/>
    <w:qFormat/>
    <w:uiPriority w:val="0"/>
    <w:rPr>
      <w:rFonts w:hint="eastAsia" w:ascii="宋体" w:hAnsi="宋体" w:eastAsia="宋体" w:cs="宋体"/>
      <w:color w:val="000000"/>
      <w:sz w:val="20"/>
      <w:szCs w:val="20"/>
      <w:u w:val="none"/>
      <w:vertAlign w:val="subscript"/>
    </w:rPr>
  </w:style>
  <w:style w:type="character" w:customStyle="1" w:styleId="64">
    <w:name w:val="font21"/>
    <w:basedOn w:val="13"/>
    <w:qFormat/>
    <w:uiPriority w:val="0"/>
    <w:rPr>
      <w:rFonts w:hint="eastAsia" w:ascii="宋体" w:hAnsi="宋体" w:eastAsia="宋体" w:cs="宋体"/>
      <w:color w:val="000000"/>
      <w:sz w:val="22"/>
      <w:szCs w:val="22"/>
      <w:u w:val="none"/>
    </w:rPr>
  </w:style>
  <w:style w:type="paragraph" w:customStyle="1" w:styleId="65">
    <w:name w:val="conte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6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58</Pages>
  <Words>6844</Words>
  <Characters>39016</Characters>
  <Lines>325</Lines>
  <Paragraphs>91</Paragraphs>
  <TotalTime>5</TotalTime>
  <ScaleCrop>false</ScaleCrop>
  <LinksUpToDate>false</LinksUpToDate>
  <CharactersWithSpaces>45769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2021-08-25T17:16:00Z</dcterms:created>
  <dc:creator>gutao</dc:creator>
  <cp:lastModifiedBy>李仲军</cp:lastModifiedBy>
  <cp:lastPrinted>2021-08-25T18:22:00Z</cp:lastPrinted>
  <dcterms:modified xsi:type="dcterms:W3CDTF">2021-12-24T03:20:11Z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