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FA" w:rsidRDefault="00954BFA" w:rsidP="00954BFA">
      <w:pPr>
        <w:spacing w:line="400" w:lineRule="atLeast"/>
        <w:rPr>
          <w:rFonts w:ascii="宋体" w:hAnsi="宋体"/>
          <w:sz w:val="24"/>
          <w:szCs w:val="24"/>
        </w:rPr>
      </w:pPr>
      <w:r>
        <w:rPr>
          <w:rFonts w:ascii="宋体" w:hAnsi="宋体" w:hint="eastAsia"/>
          <w:sz w:val="24"/>
          <w:szCs w:val="24"/>
        </w:rPr>
        <w:t>附件2</w:t>
      </w:r>
    </w:p>
    <w:p w:rsidR="00954BFA" w:rsidRDefault="00954BFA" w:rsidP="00954BFA">
      <w:pPr>
        <w:spacing w:afterLines="50" w:after="156" w:line="0" w:lineRule="atLeast"/>
        <w:jc w:val="center"/>
        <w:rPr>
          <w:rFonts w:ascii="宋体" w:hAnsi="宋体" w:hint="eastAsia"/>
          <w:sz w:val="32"/>
          <w:szCs w:val="32"/>
        </w:rPr>
      </w:pPr>
      <w:bookmarkStart w:id="0" w:name="_GoBack"/>
      <w:r>
        <w:rPr>
          <w:rFonts w:ascii="宋体" w:hAnsi="宋体" w:cs="方正小标宋_GBK" w:hint="eastAsia"/>
          <w:sz w:val="32"/>
          <w:szCs w:val="32"/>
        </w:rPr>
        <w:t>深圳市地下水禁采区、限采区划分说明表</w:t>
      </w: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8"/>
        <w:gridCol w:w="1849"/>
        <w:gridCol w:w="962"/>
        <w:gridCol w:w="3917"/>
      </w:tblGrid>
      <w:tr w:rsidR="00954BFA" w:rsidTr="00954BFA">
        <w:trPr>
          <w:trHeight w:val="284"/>
          <w:jc w:val="center"/>
        </w:trPr>
        <w:tc>
          <w:tcPr>
            <w:tcW w:w="1644" w:type="dxa"/>
            <w:tcBorders>
              <w:top w:val="single" w:sz="4" w:space="0" w:color="000000"/>
              <w:left w:val="single" w:sz="4" w:space="0" w:color="000000"/>
              <w:bottom w:val="single" w:sz="4" w:space="0" w:color="000000"/>
              <w:right w:val="single" w:sz="4" w:space="0" w:color="auto"/>
            </w:tcBorders>
            <w:vAlign w:val="center"/>
            <w:hideMark/>
          </w:tcPr>
          <w:bookmarkEnd w:id="0"/>
          <w:p w:rsidR="00954BFA" w:rsidRDefault="00954BFA">
            <w:pPr>
              <w:spacing w:line="280" w:lineRule="exact"/>
              <w:ind w:leftChars="-20" w:left="-42" w:rightChars="-20" w:right="-42"/>
              <w:jc w:val="center"/>
              <w:rPr>
                <w:rFonts w:ascii="黑体" w:eastAsia="黑体" w:hAnsi="宋体" w:cs="仿宋_GB2312"/>
                <w:szCs w:val="21"/>
              </w:rPr>
            </w:pPr>
            <w:r>
              <w:rPr>
                <w:rFonts w:ascii="黑体" w:eastAsia="黑体" w:hAnsi="宋体" w:cs="仿宋_GB2312" w:hint="eastAsia"/>
                <w:szCs w:val="21"/>
              </w:rPr>
              <w:t>分区</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260" w:lineRule="exact"/>
              <w:ind w:leftChars="-20" w:left="-42" w:rightChars="-20" w:right="-42"/>
              <w:jc w:val="center"/>
              <w:rPr>
                <w:rFonts w:ascii="黑体" w:eastAsia="黑体" w:hAnsi="宋体" w:cs="仿宋_GB2312"/>
                <w:szCs w:val="21"/>
              </w:rPr>
            </w:pPr>
            <w:r>
              <w:rPr>
                <w:rFonts w:ascii="黑体" w:eastAsia="黑体" w:hAnsi="宋体" w:cs="仿宋_GB2312" w:hint="eastAsia"/>
                <w:szCs w:val="21"/>
              </w:rPr>
              <w:t>划定范围</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260" w:lineRule="exact"/>
              <w:ind w:leftChars="-20" w:left="-42" w:rightChars="-20" w:right="-42"/>
              <w:jc w:val="center"/>
              <w:rPr>
                <w:rFonts w:ascii="黑体" w:eastAsia="黑体" w:hAnsi="宋体" w:cs="仿宋_GB2312"/>
                <w:szCs w:val="21"/>
              </w:rPr>
            </w:pPr>
            <w:r>
              <w:rPr>
                <w:rFonts w:ascii="黑体" w:eastAsia="黑体" w:hAnsi="宋体" w:cs="仿宋_GB2312" w:hint="eastAsia"/>
                <w:szCs w:val="21"/>
              </w:rPr>
              <w:t>面积（平方公里）</w:t>
            </w:r>
          </w:p>
        </w:tc>
        <w:tc>
          <w:tcPr>
            <w:tcW w:w="4216"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260" w:lineRule="exact"/>
              <w:ind w:leftChars="-20" w:left="-42" w:rightChars="-20" w:right="-42"/>
              <w:jc w:val="center"/>
              <w:rPr>
                <w:rFonts w:ascii="黑体" w:eastAsia="黑体" w:hAnsi="宋体" w:cs="仿宋_GB2312"/>
                <w:szCs w:val="21"/>
              </w:rPr>
            </w:pPr>
            <w:r>
              <w:rPr>
                <w:rFonts w:ascii="黑体" w:eastAsia="黑体" w:hAnsi="宋体" w:cs="仿宋_GB2312" w:hint="eastAsia"/>
                <w:szCs w:val="21"/>
              </w:rPr>
              <w:t>备注</w:t>
            </w:r>
          </w:p>
        </w:tc>
      </w:tr>
      <w:tr w:rsidR="00954BFA" w:rsidTr="00954BFA">
        <w:trPr>
          <w:trHeight w:val="284"/>
          <w:jc w:val="center"/>
        </w:trPr>
        <w:tc>
          <w:tcPr>
            <w:tcW w:w="1644" w:type="dxa"/>
            <w:vMerge w:val="restart"/>
            <w:tcBorders>
              <w:top w:val="single" w:sz="4" w:space="0" w:color="000000"/>
              <w:left w:val="single" w:sz="4" w:space="0" w:color="000000"/>
              <w:bottom w:val="single" w:sz="4" w:space="0" w:color="000000"/>
              <w:right w:val="single" w:sz="4" w:space="0" w:color="auto"/>
            </w:tcBorders>
            <w:vAlign w:val="center"/>
            <w:hideMark/>
          </w:tcPr>
          <w:p w:rsidR="00954BFA" w:rsidRDefault="00954BFA">
            <w:pPr>
              <w:spacing w:line="300" w:lineRule="exact"/>
              <w:ind w:leftChars="-20" w:left="-42" w:rightChars="-20" w:right="-42"/>
              <w:rPr>
                <w:rFonts w:ascii="宋体" w:hAnsi="宋体" w:cs="仿宋_GB2312"/>
                <w:szCs w:val="21"/>
              </w:rPr>
            </w:pPr>
            <w:r>
              <w:rPr>
                <w:rFonts w:ascii="宋体" w:hAnsi="宋体" w:cs="仿宋_GB2312" w:hint="eastAsia"/>
                <w:szCs w:val="21"/>
              </w:rPr>
              <w:t>禁采区（612.18平方公里）</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2"/>
                <w:szCs w:val="21"/>
              </w:rPr>
              <w:t>1．饮用水水源地保护区一级保护区范围</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jc w:val="center"/>
              <w:rPr>
                <w:rFonts w:ascii="宋体" w:hAnsi="宋体" w:cs="仿宋_GB2312"/>
                <w:szCs w:val="21"/>
              </w:rPr>
            </w:pPr>
            <w:r>
              <w:rPr>
                <w:rFonts w:ascii="宋体" w:hAnsi="宋体" w:cs="仿宋_GB2312" w:hint="eastAsia"/>
                <w:szCs w:val="21"/>
              </w:rPr>
              <w:t>141.69</w:t>
            </w:r>
          </w:p>
        </w:tc>
        <w:tc>
          <w:tcPr>
            <w:tcW w:w="4216"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zCs w:val="21"/>
              </w:rPr>
            </w:pPr>
            <w:r>
              <w:rPr>
                <w:rFonts w:ascii="宋体" w:hAnsi="宋体" w:cs="仿宋_GB2312" w:hint="eastAsia"/>
                <w:szCs w:val="21"/>
              </w:rPr>
              <w:t>以深圳市人民政府2015年8月公布的《深圳市人民政府关于调整深圳市饮用水水源保护区的通知》中确定的饮用水水源地保护区一级保护区范围为准。饮用水水源地保护区一级保护区范围依法定程序完成调整的，涉及的禁采区范围及面积相应调整。</w:t>
            </w:r>
          </w:p>
        </w:tc>
      </w:tr>
      <w:tr w:rsidR="00954BFA" w:rsidTr="00954BFA">
        <w:trPr>
          <w:trHeight w:val="284"/>
          <w:jc w:val="center"/>
        </w:trPr>
        <w:tc>
          <w:tcPr>
            <w:tcW w:w="1644" w:type="dxa"/>
            <w:vMerge/>
            <w:tcBorders>
              <w:top w:val="single" w:sz="4" w:space="0" w:color="000000"/>
              <w:left w:val="single" w:sz="4" w:space="0" w:color="000000"/>
              <w:bottom w:val="single" w:sz="4" w:space="0" w:color="000000"/>
              <w:right w:val="single" w:sz="4" w:space="0" w:color="auto"/>
            </w:tcBorders>
            <w:vAlign w:val="center"/>
            <w:hideMark/>
          </w:tcPr>
          <w:p w:rsidR="00954BFA" w:rsidRDefault="00954BFA">
            <w:pPr>
              <w:widowControl/>
              <w:jc w:val="left"/>
              <w:rPr>
                <w:rFonts w:ascii="宋体" w:hAnsi="宋体" w:cs="仿宋_GB2312"/>
                <w:szCs w:val="21"/>
              </w:rPr>
            </w:pP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2"/>
                <w:szCs w:val="21"/>
              </w:rPr>
              <w:t>2．已发生或者可能发生海水入侵、岩溶塌陷等环境地质问题的区域</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jc w:val="center"/>
              <w:rPr>
                <w:rFonts w:ascii="宋体" w:hAnsi="宋体" w:cs="仿宋_GB2312"/>
                <w:szCs w:val="21"/>
              </w:rPr>
            </w:pPr>
            <w:r>
              <w:rPr>
                <w:rFonts w:ascii="宋体" w:hAnsi="宋体" w:cs="仿宋_GB2312" w:hint="eastAsia"/>
                <w:szCs w:val="21"/>
              </w:rPr>
              <w:t>329.81</w:t>
            </w:r>
          </w:p>
        </w:tc>
        <w:tc>
          <w:tcPr>
            <w:tcW w:w="4216"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zCs w:val="21"/>
              </w:rPr>
            </w:pPr>
            <w:r>
              <w:rPr>
                <w:rFonts w:ascii="宋体" w:hAnsi="宋体" w:cs="仿宋_GB2312" w:hint="eastAsia"/>
                <w:szCs w:val="21"/>
              </w:rPr>
              <w:t>海水入侵及潜在入侵区范围以2009年《深圳市海水入侵地质灾害调查与防治对策研究报告》划定的海水入侵地质灾害高、中危险区范围为准，岩溶塌陷易发区范围以《深圳市地质灾害防治规划（2016—2025年）》划定的地质灾害高、中易发区里与岩溶塌陷有关的区域为准。</w:t>
            </w:r>
          </w:p>
        </w:tc>
      </w:tr>
      <w:tr w:rsidR="00954BFA" w:rsidTr="00954BFA">
        <w:trPr>
          <w:trHeight w:val="284"/>
          <w:jc w:val="center"/>
        </w:trPr>
        <w:tc>
          <w:tcPr>
            <w:tcW w:w="1644" w:type="dxa"/>
            <w:vMerge/>
            <w:tcBorders>
              <w:top w:val="single" w:sz="4" w:space="0" w:color="000000"/>
              <w:left w:val="single" w:sz="4" w:space="0" w:color="000000"/>
              <w:bottom w:val="single" w:sz="4" w:space="0" w:color="000000"/>
              <w:right w:val="single" w:sz="4" w:space="0" w:color="auto"/>
            </w:tcBorders>
            <w:vAlign w:val="center"/>
            <w:hideMark/>
          </w:tcPr>
          <w:p w:rsidR="00954BFA" w:rsidRDefault="00954BFA">
            <w:pPr>
              <w:widowControl/>
              <w:jc w:val="left"/>
              <w:rPr>
                <w:rFonts w:ascii="宋体" w:hAnsi="宋体" w:cs="仿宋_GB2312"/>
                <w:szCs w:val="21"/>
              </w:rPr>
            </w:pP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2"/>
                <w:szCs w:val="21"/>
              </w:rPr>
              <w:t>3．铁路线路路堤坡脚、路堑坡顶或者铁路桥梁、地铁外侧起向外各200米范围及机场管理范围</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jc w:val="center"/>
              <w:rPr>
                <w:rFonts w:ascii="宋体" w:hAnsi="宋体" w:cs="仿宋_GB2312"/>
                <w:szCs w:val="21"/>
              </w:rPr>
            </w:pPr>
            <w:r>
              <w:rPr>
                <w:rFonts w:ascii="宋体" w:hAnsi="宋体" w:cs="仿宋_GB2312" w:hint="eastAsia"/>
                <w:szCs w:val="21"/>
              </w:rPr>
              <w:t>140.57</w:t>
            </w:r>
          </w:p>
        </w:tc>
        <w:tc>
          <w:tcPr>
            <w:tcW w:w="4216"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zCs w:val="21"/>
              </w:rPr>
            </w:pPr>
            <w:r>
              <w:rPr>
                <w:rFonts w:ascii="宋体" w:hAnsi="宋体" w:cs="仿宋_GB2312" w:hint="eastAsia"/>
                <w:szCs w:val="21"/>
              </w:rPr>
              <w:t>铁路线路和铁路桥梁边线以中国铁路广州局集团有限公司公布的数据为准，地铁边线以深圳市地铁集团有限公司公布的数据为准。机场范围边线以深圳市机场（集团）有限公司公布的数据为准。</w:t>
            </w:r>
          </w:p>
        </w:tc>
      </w:tr>
      <w:tr w:rsidR="00954BFA" w:rsidTr="00954BFA">
        <w:trPr>
          <w:trHeight w:val="284"/>
          <w:jc w:val="center"/>
        </w:trPr>
        <w:tc>
          <w:tcPr>
            <w:tcW w:w="1644" w:type="dxa"/>
            <w:vMerge/>
            <w:tcBorders>
              <w:top w:val="single" w:sz="4" w:space="0" w:color="000000"/>
              <w:left w:val="single" w:sz="4" w:space="0" w:color="000000"/>
              <w:bottom w:val="single" w:sz="4" w:space="0" w:color="000000"/>
              <w:right w:val="single" w:sz="4" w:space="0" w:color="auto"/>
            </w:tcBorders>
            <w:vAlign w:val="center"/>
            <w:hideMark/>
          </w:tcPr>
          <w:p w:rsidR="00954BFA" w:rsidRDefault="00954BFA">
            <w:pPr>
              <w:widowControl/>
              <w:jc w:val="left"/>
              <w:rPr>
                <w:rFonts w:ascii="宋体" w:hAnsi="宋体" w:cs="仿宋_GB2312"/>
                <w:szCs w:val="21"/>
              </w:rPr>
            </w:pP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2"/>
                <w:szCs w:val="21"/>
              </w:rPr>
              <w:t>4．重点文物保护单位保护范围</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jc w:val="center"/>
              <w:rPr>
                <w:rFonts w:ascii="宋体" w:hAnsi="宋体" w:cs="仿宋_GB2312"/>
                <w:szCs w:val="21"/>
              </w:rPr>
            </w:pPr>
            <w:r>
              <w:rPr>
                <w:rFonts w:ascii="宋体" w:hAnsi="宋体" w:cs="仿宋_GB2312" w:hint="eastAsia"/>
                <w:szCs w:val="21"/>
              </w:rPr>
              <w:t>0.11</w:t>
            </w:r>
          </w:p>
        </w:tc>
        <w:tc>
          <w:tcPr>
            <w:tcW w:w="4216"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zCs w:val="21"/>
              </w:rPr>
            </w:pPr>
            <w:r>
              <w:rPr>
                <w:rFonts w:ascii="宋体" w:hAnsi="宋体" w:cs="仿宋_GB2312" w:hint="eastAsia"/>
                <w:szCs w:val="21"/>
              </w:rPr>
              <w:t>大鹏新区大鹏所城是我市唯一的全国重点文物保护单位，管理范围以广东省文化厅、广</w:t>
            </w:r>
            <w:r>
              <w:rPr>
                <w:rFonts w:ascii="宋体" w:hAnsi="宋体" w:cs="仿宋_GB2312" w:hint="eastAsia"/>
                <w:spacing w:val="-4"/>
                <w:szCs w:val="21"/>
              </w:rPr>
              <w:t>东省住房和城乡建设厅发布的粤文物〔2014〕</w:t>
            </w:r>
            <w:r>
              <w:rPr>
                <w:rFonts w:ascii="宋体" w:hAnsi="宋体" w:cs="仿宋_GB2312" w:hint="eastAsia"/>
                <w:szCs w:val="21"/>
              </w:rPr>
              <w:t>44号文件确定的为准。</w:t>
            </w:r>
          </w:p>
        </w:tc>
      </w:tr>
      <w:tr w:rsidR="00954BFA" w:rsidTr="00954BFA">
        <w:trPr>
          <w:trHeight w:val="284"/>
          <w:jc w:val="center"/>
        </w:trPr>
        <w:tc>
          <w:tcPr>
            <w:tcW w:w="1644" w:type="dxa"/>
            <w:tcBorders>
              <w:top w:val="single" w:sz="4" w:space="0" w:color="000000"/>
              <w:left w:val="single" w:sz="4" w:space="0" w:color="000000"/>
              <w:bottom w:val="single" w:sz="4" w:space="0" w:color="auto"/>
              <w:right w:val="single" w:sz="4" w:space="0" w:color="auto"/>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4"/>
                <w:szCs w:val="21"/>
              </w:rPr>
              <w:t>限采区（1384.60</w:t>
            </w:r>
            <w:r>
              <w:rPr>
                <w:rFonts w:ascii="宋体" w:hAnsi="宋体" w:cs="仿宋_GB2312" w:hint="eastAsia"/>
                <w:spacing w:val="-2"/>
                <w:szCs w:val="21"/>
              </w:rPr>
              <w:t>平方公里）</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954BFA" w:rsidRDefault="00954BFA">
            <w:pPr>
              <w:spacing w:line="300" w:lineRule="exact"/>
              <w:ind w:leftChars="-20" w:left="-42" w:rightChars="-20" w:right="-42"/>
              <w:rPr>
                <w:rFonts w:ascii="宋体" w:hAnsi="宋体" w:cs="仿宋_GB2312"/>
                <w:spacing w:val="-2"/>
                <w:szCs w:val="21"/>
              </w:rPr>
            </w:pPr>
            <w:r>
              <w:rPr>
                <w:rFonts w:ascii="宋体" w:hAnsi="宋体" w:cs="仿宋_GB2312" w:hint="eastAsia"/>
                <w:spacing w:val="-2"/>
                <w:szCs w:val="21"/>
              </w:rPr>
              <w:t>深圳市境内，</w:t>
            </w:r>
            <w:proofErr w:type="gramStart"/>
            <w:r>
              <w:rPr>
                <w:rFonts w:ascii="宋体" w:hAnsi="宋体" w:cs="仿宋_GB2312" w:hint="eastAsia"/>
                <w:spacing w:val="-2"/>
                <w:szCs w:val="21"/>
              </w:rPr>
              <w:t>除禁采区</w:t>
            </w:r>
            <w:proofErr w:type="gramEnd"/>
            <w:r>
              <w:rPr>
                <w:rFonts w:ascii="宋体" w:hAnsi="宋体" w:cs="仿宋_GB2312" w:hint="eastAsia"/>
                <w:spacing w:val="-2"/>
                <w:szCs w:val="21"/>
              </w:rPr>
              <w:t>以外的其他区域</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54BFA" w:rsidRDefault="00954BFA">
            <w:pPr>
              <w:spacing w:line="300" w:lineRule="exact"/>
              <w:ind w:leftChars="-20" w:left="-42" w:rightChars="-20" w:right="-42"/>
              <w:jc w:val="center"/>
              <w:rPr>
                <w:rFonts w:ascii="宋体" w:hAnsi="宋体" w:cs="仿宋_GB2312"/>
                <w:szCs w:val="21"/>
              </w:rPr>
            </w:pPr>
            <w:r>
              <w:rPr>
                <w:rFonts w:ascii="宋体" w:hAnsi="宋体" w:cs="仿宋_GB2312" w:hint="eastAsia"/>
                <w:szCs w:val="21"/>
              </w:rPr>
              <w:t>1384.60</w:t>
            </w:r>
          </w:p>
        </w:tc>
        <w:tc>
          <w:tcPr>
            <w:tcW w:w="4216" w:type="dxa"/>
            <w:tcBorders>
              <w:top w:val="single" w:sz="4" w:space="0" w:color="000000"/>
              <w:left w:val="single" w:sz="4" w:space="0" w:color="000000"/>
              <w:bottom w:val="single" w:sz="4" w:space="0" w:color="000000"/>
              <w:right w:val="single" w:sz="4" w:space="0" w:color="000000"/>
            </w:tcBorders>
            <w:vAlign w:val="center"/>
          </w:tcPr>
          <w:p w:rsidR="00954BFA" w:rsidRDefault="00954BFA">
            <w:pPr>
              <w:spacing w:line="300" w:lineRule="exact"/>
              <w:ind w:leftChars="-20" w:left="-42" w:rightChars="-20" w:right="-42"/>
              <w:rPr>
                <w:rFonts w:ascii="宋体" w:hAnsi="宋体" w:cs="仿宋_GB2312"/>
                <w:szCs w:val="21"/>
              </w:rPr>
            </w:pPr>
          </w:p>
        </w:tc>
      </w:tr>
    </w:tbl>
    <w:p w:rsidR="00DD55C1" w:rsidRDefault="00DD55C1"/>
    <w:sectPr w:rsidR="00DD55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A2" w:rsidRDefault="00FB3FA2" w:rsidP="00954BFA">
      <w:r>
        <w:separator/>
      </w:r>
    </w:p>
  </w:endnote>
  <w:endnote w:type="continuationSeparator" w:id="0">
    <w:p w:rsidR="00FB3FA2" w:rsidRDefault="00FB3FA2" w:rsidP="0095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A2" w:rsidRDefault="00FB3FA2" w:rsidP="00954BFA">
      <w:r>
        <w:separator/>
      </w:r>
    </w:p>
  </w:footnote>
  <w:footnote w:type="continuationSeparator" w:id="0">
    <w:p w:rsidR="00FB3FA2" w:rsidRDefault="00FB3FA2" w:rsidP="0095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FA"/>
    <w:rsid w:val="00954BFA"/>
    <w:rsid w:val="00DD55C1"/>
    <w:rsid w:val="00FB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BFA"/>
    <w:rPr>
      <w:rFonts w:ascii="Calibri" w:eastAsia="宋体" w:hAnsi="Calibri" w:cs="Times New Roman"/>
      <w:sz w:val="18"/>
      <w:szCs w:val="18"/>
    </w:rPr>
  </w:style>
  <w:style w:type="paragraph" w:styleId="a4">
    <w:name w:val="footer"/>
    <w:basedOn w:val="a"/>
    <w:link w:val="Char0"/>
    <w:uiPriority w:val="99"/>
    <w:unhideWhenUsed/>
    <w:rsid w:val="00954BFA"/>
    <w:pPr>
      <w:tabs>
        <w:tab w:val="center" w:pos="4153"/>
        <w:tab w:val="right" w:pos="8306"/>
      </w:tabs>
      <w:snapToGrid w:val="0"/>
      <w:jc w:val="left"/>
    </w:pPr>
    <w:rPr>
      <w:sz w:val="18"/>
      <w:szCs w:val="18"/>
    </w:rPr>
  </w:style>
  <w:style w:type="character" w:customStyle="1" w:styleId="Char0">
    <w:name w:val="页脚 Char"/>
    <w:basedOn w:val="a0"/>
    <w:link w:val="a4"/>
    <w:uiPriority w:val="99"/>
    <w:rsid w:val="00954BF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BFA"/>
    <w:rPr>
      <w:rFonts w:ascii="Calibri" w:eastAsia="宋体" w:hAnsi="Calibri" w:cs="Times New Roman"/>
      <w:sz w:val="18"/>
      <w:szCs w:val="18"/>
    </w:rPr>
  </w:style>
  <w:style w:type="paragraph" w:styleId="a4">
    <w:name w:val="footer"/>
    <w:basedOn w:val="a"/>
    <w:link w:val="Char0"/>
    <w:uiPriority w:val="99"/>
    <w:unhideWhenUsed/>
    <w:rsid w:val="00954BFA"/>
    <w:pPr>
      <w:tabs>
        <w:tab w:val="center" w:pos="4153"/>
        <w:tab w:val="right" w:pos="8306"/>
      </w:tabs>
      <w:snapToGrid w:val="0"/>
      <w:jc w:val="left"/>
    </w:pPr>
    <w:rPr>
      <w:sz w:val="18"/>
      <w:szCs w:val="18"/>
    </w:rPr>
  </w:style>
  <w:style w:type="character" w:customStyle="1" w:styleId="Char0">
    <w:name w:val="页脚 Char"/>
    <w:basedOn w:val="a0"/>
    <w:link w:val="a4"/>
    <w:uiPriority w:val="99"/>
    <w:rsid w:val="00954BF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1</cp:revision>
  <dcterms:created xsi:type="dcterms:W3CDTF">2018-09-28T08:57:00Z</dcterms:created>
  <dcterms:modified xsi:type="dcterms:W3CDTF">2018-09-28T08:59:00Z</dcterms:modified>
</cp:coreProperties>
</file>