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sz w:val="28"/>
          <w:szCs w:val="28"/>
        </w:rPr>
      </w:pPr>
      <w:r>
        <w:rPr>
          <w:rFonts w:hint="eastAsia" w:ascii="黑体" w:hAnsi="黑体" w:eastAsia="黑体"/>
          <w:sz w:val="28"/>
          <w:szCs w:val="28"/>
        </w:rPr>
        <w:t>附件一：</w:t>
      </w:r>
    </w:p>
    <w:p>
      <w:pPr>
        <w:spacing w:line="0" w:lineRule="atLeast"/>
        <w:jc w:val="center"/>
        <w:rPr>
          <w:rFonts w:ascii="方正小标宋_GBK" w:hAnsi="宋体" w:eastAsia="方正小标宋_GBK"/>
          <w:sz w:val="40"/>
          <w:szCs w:val="36"/>
        </w:rPr>
      </w:pPr>
      <w:r>
        <w:rPr>
          <w:rFonts w:hint="eastAsia" w:ascii="方正小标宋_GBK" w:hAnsi="宋体" w:eastAsia="方正小标宋_GBK"/>
          <w:sz w:val="40"/>
          <w:szCs w:val="36"/>
        </w:rPr>
        <w:t>深圳市水务建设市场主体不良行为认定及应用</w:t>
      </w:r>
    </w:p>
    <w:p>
      <w:pPr>
        <w:spacing w:line="0" w:lineRule="atLeast"/>
        <w:jc w:val="center"/>
        <w:rPr>
          <w:rFonts w:ascii="方正小标宋_GBK" w:hAnsi="宋体" w:eastAsia="方正小标宋_GBK"/>
          <w:sz w:val="40"/>
          <w:szCs w:val="36"/>
        </w:rPr>
      </w:pPr>
      <w:r>
        <w:rPr>
          <w:rFonts w:hint="eastAsia" w:ascii="方正小标宋_GBK" w:hAnsi="宋体" w:eastAsia="方正小标宋_GBK"/>
          <w:sz w:val="40"/>
          <w:szCs w:val="36"/>
        </w:rPr>
        <w:t>管理办法（修订征求意见稿）</w:t>
      </w:r>
    </w:p>
    <w:p>
      <w:pPr>
        <w:spacing w:line="380" w:lineRule="atLeast"/>
        <w:ind w:firstLine="480" w:firstLineChars="200"/>
        <w:rPr>
          <w:rFonts w:ascii="宋体" w:hAnsi="宋体"/>
          <w:sz w:val="24"/>
          <w:szCs w:val="24"/>
        </w:rPr>
      </w:pPr>
    </w:p>
    <w:p>
      <w:pPr>
        <w:spacing w:line="380" w:lineRule="atLeast"/>
        <w:jc w:val="center"/>
        <w:rPr>
          <w:rFonts w:ascii="黑体" w:hAnsi="宋体" w:eastAsia="黑体"/>
          <w:sz w:val="24"/>
          <w:szCs w:val="24"/>
        </w:rPr>
      </w:pPr>
      <w:r>
        <w:rPr>
          <w:rFonts w:hint="eastAsia" w:ascii="黑体" w:hAnsi="宋体" w:eastAsia="黑体"/>
          <w:sz w:val="24"/>
          <w:szCs w:val="24"/>
        </w:rPr>
        <w:t>第一章  总    则</w:t>
      </w:r>
    </w:p>
    <w:p>
      <w:pPr>
        <w:spacing w:line="380" w:lineRule="atLeast"/>
        <w:ind w:firstLine="480" w:firstLineChars="200"/>
        <w:rPr>
          <w:rFonts w:ascii="宋体" w:hAnsi="宋体"/>
          <w:sz w:val="24"/>
          <w:szCs w:val="24"/>
        </w:rPr>
      </w:pPr>
    </w:p>
    <w:p>
      <w:pPr>
        <w:spacing w:line="396" w:lineRule="atLeast"/>
        <w:ind w:firstLine="480"/>
        <w:rPr>
          <w:rFonts w:ascii="宋体" w:hAnsi="宋体"/>
          <w:sz w:val="24"/>
          <w:szCs w:val="24"/>
        </w:rPr>
      </w:pPr>
      <w:r>
        <w:rPr>
          <w:rFonts w:hint="eastAsia" w:ascii="宋体" w:hAnsi="宋体" w:eastAsia="黑体" w:cs="宋体"/>
          <w:sz w:val="24"/>
          <w:szCs w:val="24"/>
        </w:rPr>
        <w:t>第一</w:t>
      </w:r>
      <w:r>
        <w:rPr>
          <w:rFonts w:hint="eastAsia" w:ascii="宋体" w:hAnsi="宋体" w:cs="宋体"/>
          <w:sz w:val="24"/>
          <w:szCs w:val="24"/>
        </w:rPr>
        <w:t>条  为贯彻落实《</w:t>
      </w:r>
      <w:r>
        <w:rPr>
          <w:rFonts w:hint="eastAsia" w:ascii="宋体" w:hAnsi="宋体" w:cs="宋体"/>
          <w:sz w:val="24"/>
          <w:szCs w:val="24"/>
          <w:shd w:val="clear" w:color="auto" w:fill="FFFFFF"/>
        </w:rPr>
        <w:t>中共中央国务院关于支持深圳建设中国特色社会主义先行示范区的意见》、</w:t>
      </w:r>
      <w:r>
        <w:rPr>
          <w:rFonts w:hint="eastAsia" w:ascii="宋体" w:hAnsi="宋体" w:cs="宋体"/>
          <w:sz w:val="24"/>
          <w:szCs w:val="24"/>
        </w:rPr>
        <w:t>《国务院关于建立完善守信联合激励和失信联合惩戒制度加快推进社会诚信建设的指导</w:t>
      </w:r>
      <w:r>
        <w:rPr>
          <w:rFonts w:hint="eastAsia" w:ascii="宋体" w:hAnsi="宋体"/>
          <w:sz w:val="24"/>
          <w:szCs w:val="24"/>
        </w:rPr>
        <w:t>意见》（国发〔2016〕33号）、《国务院办公厅关于加快推进社会信用体系建设构建以信用为基础的新型监管机制的指导意见》（国办发〔2019〕35号）等有关社会诚信体系建设精神，加快推进守信联合激励和失信联合惩戒制度的建立，加强水务建设市场秩序监管，规范水务建设市场主体行为，完善水务建设市场准入和退出机制，根据《中华人民共和国招标投标法》《中华人民共和国建筑法》《中华人民共和国安全生产法》《深圳市公共信用信息管理办法》等有关规定，结合深圳市水务建设市场实际，制定本办法。</w:t>
      </w:r>
    </w:p>
    <w:p>
      <w:pPr>
        <w:spacing w:line="396" w:lineRule="atLeast"/>
        <w:ind w:firstLine="480" w:firstLineChars="200"/>
        <w:rPr>
          <w:rFonts w:ascii="宋体" w:hAnsi="宋体"/>
          <w:sz w:val="24"/>
          <w:szCs w:val="24"/>
        </w:rPr>
      </w:pPr>
      <w:r>
        <w:rPr>
          <w:rFonts w:hint="eastAsia" w:ascii="宋体" w:hAnsi="宋体" w:eastAsia="黑体"/>
          <w:sz w:val="24"/>
          <w:szCs w:val="24"/>
        </w:rPr>
        <w:t>第二条</w:t>
      </w:r>
      <w:r>
        <w:rPr>
          <w:rFonts w:hint="eastAsia" w:ascii="宋体" w:hAnsi="宋体"/>
          <w:sz w:val="24"/>
          <w:szCs w:val="24"/>
        </w:rPr>
        <w:t xml:space="preserve">  水务建设市场主体在本市水务建设市场从事生产、经营等活动中产生的不良行为的认定及应用管理适用本办法。</w:t>
      </w:r>
    </w:p>
    <w:p>
      <w:pPr>
        <w:spacing w:line="396" w:lineRule="exact"/>
        <w:ind w:firstLine="480" w:firstLineChars="200"/>
        <w:rPr>
          <w:rFonts w:ascii="宋体" w:hAnsi="宋体"/>
          <w:sz w:val="24"/>
          <w:szCs w:val="24"/>
        </w:rPr>
      </w:pPr>
      <w:r>
        <w:rPr>
          <w:rFonts w:hint="eastAsia" w:ascii="宋体" w:hAnsi="宋体" w:eastAsia="黑体"/>
          <w:sz w:val="24"/>
          <w:szCs w:val="24"/>
        </w:rPr>
        <w:t>第三条</w:t>
      </w:r>
      <w:r>
        <w:rPr>
          <w:rFonts w:hint="eastAsia" w:ascii="宋体" w:hAnsi="宋体"/>
          <w:sz w:val="24"/>
          <w:szCs w:val="24"/>
        </w:rPr>
        <w:t xml:space="preserve">  本办法所称水务建设市场，是指本市行政区域（含深汕特别合作区）范围内，市、区水行政主管部门依法进行监管的工程（含信息化工程）建设领域和水务设施运行维护领域。主要包括但不限于以下方面：</w:t>
      </w:r>
    </w:p>
    <w:p>
      <w:pPr>
        <w:spacing w:line="396" w:lineRule="exact"/>
        <w:ind w:firstLine="480" w:firstLineChars="200"/>
        <w:rPr>
          <w:rFonts w:ascii="宋体" w:hAnsi="宋体"/>
          <w:sz w:val="24"/>
          <w:szCs w:val="24"/>
        </w:rPr>
      </w:pPr>
      <w:r>
        <w:rPr>
          <w:rFonts w:hint="eastAsia" w:ascii="宋体" w:hAnsi="宋体"/>
          <w:sz w:val="24"/>
          <w:szCs w:val="24"/>
        </w:rPr>
        <w:t>（一）市、区水行政主管部门及其所属（或委托）的企事业单位作为招标人的工程建设领域和水务设施运行维护领域；</w:t>
      </w:r>
    </w:p>
    <w:p>
      <w:pPr>
        <w:spacing w:line="396" w:lineRule="exact"/>
        <w:ind w:firstLine="480" w:firstLineChars="200"/>
        <w:rPr>
          <w:rFonts w:ascii="宋体" w:hAnsi="宋体"/>
          <w:sz w:val="24"/>
          <w:szCs w:val="24"/>
        </w:rPr>
      </w:pPr>
      <w:r>
        <w:rPr>
          <w:rFonts w:hint="eastAsia" w:ascii="宋体" w:hAnsi="宋体"/>
          <w:sz w:val="24"/>
          <w:szCs w:val="24"/>
        </w:rPr>
        <w:t>（二）市、区水行政主管部门依规受理开工备案或核发施工许可证的工程建设领域和水务设施运行维护领域；</w:t>
      </w:r>
    </w:p>
    <w:p>
      <w:pPr>
        <w:spacing w:line="396" w:lineRule="exact"/>
        <w:ind w:firstLine="480" w:firstLineChars="200"/>
        <w:rPr>
          <w:rFonts w:ascii="宋体" w:hAnsi="宋体"/>
          <w:sz w:val="24"/>
          <w:szCs w:val="24"/>
        </w:rPr>
      </w:pPr>
      <w:r>
        <w:rPr>
          <w:rFonts w:hint="eastAsia" w:ascii="宋体" w:hAnsi="宋体"/>
          <w:sz w:val="24"/>
          <w:szCs w:val="24"/>
        </w:rPr>
        <w:t>（三）市、区水行政主管部门及其所属企事业单位负责完成项目立项等前期工作后移交给其他相关单位组织建设的工程建设领域。</w:t>
      </w:r>
    </w:p>
    <w:p>
      <w:pPr>
        <w:spacing w:line="396" w:lineRule="atLeast"/>
        <w:ind w:firstLine="480" w:firstLineChars="200"/>
        <w:rPr>
          <w:rFonts w:ascii="宋体" w:hAnsi="宋体"/>
          <w:sz w:val="24"/>
          <w:szCs w:val="24"/>
        </w:rPr>
      </w:pPr>
      <w:r>
        <w:rPr>
          <w:rFonts w:hint="eastAsia" w:ascii="黑体" w:hAnsi="黑体" w:eastAsia="黑体"/>
          <w:sz w:val="24"/>
          <w:szCs w:val="24"/>
        </w:rPr>
        <w:t>第四条</w:t>
      </w:r>
      <w:r>
        <w:rPr>
          <w:rFonts w:hint="eastAsia" w:ascii="宋体" w:hAnsi="宋体"/>
          <w:sz w:val="24"/>
          <w:szCs w:val="24"/>
        </w:rPr>
        <w:t xml:space="preserve">  本办法所称深圳市水务建设市场主体（以下简称“市场主体”），是指在水务建设市场从事生产、经营等活动的单位及其项目负责人（未明确项目负责人的，为企业法定代表人，下同），包括但不限于：社会资本投资建设的工程建设单位（含PPP项目社会资本投资建设的建设单位）、全过程咨询单位、代建单位、项目管理、勘察、设计、施工、监理、招标代理、质量检测（含竣工测量、管道内窥检测、第三方监测）、供货（甲供）、造价咨询、水务设施运行维护等单位及其项目负责人。</w:t>
      </w:r>
    </w:p>
    <w:p>
      <w:pPr>
        <w:spacing w:line="396" w:lineRule="exact"/>
        <w:ind w:firstLine="480" w:firstLineChars="200"/>
        <w:rPr>
          <w:rFonts w:ascii="宋体" w:hAnsi="宋体"/>
          <w:sz w:val="24"/>
          <w:szCs w:val="24"/>
        </w:rPr>
      </w:pPr>
      <w:r>
        <w:rPr>
          <w:rFonts w:hint="eastAsia" w:ascii="黑体" w:hAnsi="黑体" w:eastAsia="黑体"/>
          <w:sz w:val="24"/>
          <w:szCs w:val="24"/>
        </w:rPr>
        <w:t>第五条</w:t>
      </w:r>
      <w:r>
        <w:rPr>
          <w:rFonts w:hint="eastAsia" w:ascii="宋体" w:hAnsi="宋体"/>
          <w:sz w:val="24"/>
          <w:szCs w:val="24"/>
        </w:rPr>
        <w:t xml:space="preserve">  本办法所称不良行为，是指市场主体在水务建设市场从事生产、经营等活动中违反有关法律、法规、规章、规范性文件和国家、行业、地方强制性技术要求的行为，以及违反合同约定并在质量、安全、投资、进度等方面产生不良影响和后果的行为。</w:t>
      </w:r>
    </w:p>
    <w:p>
      <w:pPr>
        <w:spacing w:line="396" w:lineRule="exact"/>
        <w:ind w:firstLine="480" w:firstLineChars="200"/>
        <w:rPr>
          <w:rFonts w:ascii="宋体" w:hAnsi="宋体"/>
          <w:sz w:val="24"/>
          <w:szCs w:val="24"/>
        </w:rPr>
      </w:pPr>
      <w:r>
        <w:rPr>
          <w:rFonts w:hint="eastAsia" w:ascii="黑体" w:hAnsi="黑体" w:eastAsia="黑体"/>
          <w:sz w:val="24"/>
          <w:szCs w:val="24"/>
        </w:rPr>
        <w:t>第六条</w:t>
      </w:r>
      <w:r>
        <w:rPr>
          <w:rFonts w:hint="eastAsia" w:ascii="宋体" w:hAnsi="宋体"/>
          <w:sz w:val="24"/>
          <w:szCs w:val="24"/>
        </w:rPr>
        <w:t xml:space="preserve">  深圳市水务建设市场主体不良行为认定及应用，应遵循“依法、依规，公开、公正，准确、适用，从严、从重、从快，谁认定、谁负责”的原则，维护市场主体的合法权益，保守国家秘密，保护商业秘密和个人隐私。</w:t>
      </w:r>
    </w:p>
    <w:p>
      <w:pPr>
        <w:spacing w:line="396" w:lineRule="exact"/>
        <w:ind w:firstLine="480" w:firstLineChars="200"/>
        <w:rPr>
          <w:rFonts w:ascii="宋体" w:hAnsi="宋体"/>
          <w:sz w:val="24"/>
          <w:szCs w:val="24"/>
        </w:rPr>
      </w:pPr>
      <w:r>
        <w:rPr>
          <w:rFonts w:hint="eastAsia" w:ascii="宋体" w:hAnsi="宋体"/>
          <w:sz w:val="24"/>
          <w:szCs w:val="24"/>
        </w:rPr>
        <w:t>当同一不良行为同时符合多个不良行为认定标准情形，且扣分标准不一致的，以较严格的为准。</w:t>
      </w:r>
    </w:p>
    <w:p>
      <w:pPr>
        <w:spacing w:line="396" w:lineRule="exact"/>
        <w:ind w:firstLine="480" w:firstLineChars="200"/>
        <w:rPr>
          <w:rFonts w:ascii="宋体" w:hAnsi="宋体"/>
          <w:sz w:val="24"/>
          <w:szCs w:val="24"/>
        </w:rPr>
      </w:pPr>
      <w:r>
        <w:rPr>
          <w:rFonts w:hint="eastAsia" w:ascii="黑体" w:hAnsi="黑体" w:eastAsia="黑体"/>
          <w:sz w:val="24"/>
          <w:szCs w:val="24"/>
        </w:rPr>
        <w:t>第七条</w:t>
      </w:r>
      <w:r>
        <w:rPr>
          <w:rFonts w:hint="eastAsia" w:ascii="宋体" w:hAnsi="宋体"/>
          <w:sz w:val="24"/>
          <w:szCs w:val="24"/>
        </w:rPr>
        <w:t xml:space="preserve">  市水行政主管部门根据相关规定并结合实际制定《深圳市水务建设市场主体不良行为认定标准》（附件1）。</w:t>
      </w:r>
    </w:p>
    <w:p>
      <w:pPr>
        <w:spacing w:line="396" w:lineRule="atLeast"/>
        <w:ind w:firstLine="480" w:firstLineChars="200"/>
        <w:rPr>
          <w:rFonts w:ascii="宋体" w:hAnsi="宋体"/>
          <w:sz w:val="24"/>
          <w:szCs w:val="24"/>
        </w:rPr>
      </w:pPr>
      <w:r>
        <w:rPr>
          <w:rFonts w:hint="eastAsia" w:ascii="黑体" w:hAnsi="黑体" w:eastAsia="黑体"/>
          <w:sz w:val="24"/>
          <w:szCs w:val="24"/>
        </w:rPr>
        <w:t>第八条</w:t>
      </w:r>
      <w:r>
        <w:rPr>
          <w:rFonts w:hint="eastAsia" w:ascii="宋体" w:hAnsi="宋体"/>
          <w:sz w:val="24"/>
          <w:szCs w:val="24"/>
        </w:rPr>
        <w:t xml:space="preserve">  不良行为，按照认定标准根据其严重程度实行量化扣分制，通过量化扣分值将其划分为记录、轻微、较严重、严重四个等级：</w:t>
      </w:r>
    </w:p>
    <w:p>
      <w:pPr>
        <w:spacing w:line="396" w:lineRule="atLeast"/>
        <w:ind w:firstLine="480" w:firstLineChars="200"/>
        <w:rPr>
          <w:rFonts w:ascii="宋体" w:hAnsi="宋体"/>
          <w:sz w:val="24"/>
          <w:szCs w:val="24"/>
        </w:rPr>
      </w:pPr>
      <w:r>
        <w:rPr>
          <w:rFonts w:hint="eastAsia" w:ascii="宋体" w:hAnsi="宋体"/>
          <w:sz w:val="24"/>
          <w:szCs w:val="24"/>
        </w:rPr>
        <w:t>（一）一个年度内（以公历年度1月1日至12月31日为准，下同），扣分值（以已公告生效的扣分值为准，下同）尚未达到10分的不良行为，每次认定记录等级不良行为；</w:t>
      </w:r>
    </w:p>
    <w:p>
      <w:pPr>
        <w:spacing w:line="396" w:lineRule="atLeast"/>
        <w:ind w:firstLine="480" w:firstLineChars="200"/>
        <w:rPr>
          <w:rFonts w:ascii="宋体" w:hAnsi="宋体"/>
          <w:sz w:val="24"/>
          <w:szCs w:val="24"/>
        </w:rPr>
      </w:pPr>
      <w:r>
        <w:rPr>
          <w:rFonts w:hint="eastAsia" w:ascii="宋体" w:hAnsi="宋体"/>
          <w:sz w:val="24"/>
          <w:szCs w:val="24"/>
        </w:rPr>
        <w:t>（二）一个年度内，扣分值累计达到10～19分时即认定轻微等级不良行为；</w:t>
      </w:r>
    </w:p>
    <w:p>
      <w:pPr>
        <w:spacing w:line="396" w:lineRule="atLeast"/>
        <w:ind w:firstLine="480" w:firstLineChars="200"/>
        <w:rPr>
          <w:rFonts w:ascii="宋体" w:hAnsi="宋体"/>
          <w:sz w:val="24"/>
          <w:szCs w:val="24"/>
        </w:rPr>
      </w:pPr>
      <w:r>
        <w:rPr>
          <w:rFonts w:hint="eastAsia" w:ascii="宋体" w:hAnsi="宋体"/>
          <w:sz w:val="24"/>
          <w:szCs w:val="24"/>
        </w:rPr>
        <w:t>（三）一个年度内，扣分值累计达到20～39分时即认定较严重等级不良行为；</w:t>
      </w:r>
    </w:p>
    <w:p>
      <w:pPr>
        <w:spacing w:line="396" w:lineRule="atLeast"/>
        <w:ind w:firstLine="480" w:firstLineChars="200"/>
        <w:rPr>
          <w:rFonts w:ascii="宋体" w:hAnsi="宋体"/>
          <w:sz w:val="24"/>
          <w:szCs w:val="24"/>
        </w:rPr>
      </w:pPr>
      <w:r>
        <w:rPr>
          <w:rFonts w:hint="eastAsia" w:ascii="宋体" w:hAnsi="宋体"/>
          <w:sz w:val="24"/>
          <w:szCs w:val="24"/>
        </w:rPr>
        <w:t>（四）一个年度内，扣分值累计达到40分及以上时，每达到一次40分即认定一次严重等级不良行为。</w:t>
      </w:r>
    </w:p>
    <w:p>
      <w:pPr>
        <w:spacing w:line="396" w:lineRule="atLeast"/>
        <w:ind w:firstLine="480" w:firstLineChars="200"/>
        <w:rPr>
          <w:rFonts w:ascii="宋体" w:hAnsi="宋体" w:cs="宋体"/>
          <w:sz w:val="24"/>
          <w:szCs w:val="24"/>
        </w:rPr>
      </w:pPr>
      <w:r>
        <w:rPr>
          <w:rFonts w:hint="eastAsia" w:ascii="宋体" w:hAnsi="宋体" w:cs="宋体"/>
          <w:sz w:val="24"/>
          <w:szCs w:val="24"/>
        </w:rPr>
        <w:t>其中，被予以严重等级不良行为认定且在公告期内的市场主体，一律将其列入水务建设市场严重失信主体“黑名单”进行管理，实行联合惩戒。</w:t>
      </w:r>
    </w:p>
    <w:p>
      <w:pPr>
        <w:spacing w:line="396" w:lineRule="atLeast"/>
        <w:ind w:firstLine="480" w:firstLineChars="200"/>
        <w:rPr>
          <w:rFonts w:ascii="宋体" w:hAnsi="宋体"/>
          <w:sz w:val="24"/>
          <w:szCs w:val="24"/>
          <w:shd w:val="clear" w:color="auto" w:fill="FFFFFF"/>
        </w:rPr>
      </w:pPr>
      <w:r>
        <w:rPr>
          <w:rFonts w:hint="eastAsia" w:ascii="宋体" w:hAnsi="宋体" w:eastAsia="黑体"/>
          <w:sz w:val="24"/>
          <w:szCs w:val="24"/>
        </w:rPr>
        <w:t>第九条</w:t>
      </w:r>
      <w:r>
        <w:rPr>
          <w:rFonts w:hint="eastAsia" w:ascii="宋体" w:hAnsi="宋体"/>
          <w:sz w:val="24"/>
          <w:szCs w:val="24"/>
        </w:rPr>
        <w:t xml:space="preserve">  </w:t>
      </w:r>
      <w:r>
        <w:rPr>
          <w:rFonts w:hint="eastAsia" w:ascii="宋体" w:hAnsi="宋体"/>
          <w:sz w:val="24"/>
          <w:szCs w:val="24"/>
          <w:shd w:val="clear" w:color="auto" w:fill="FFFFFF"/>
        </w:rPr>
        <w:t>市场主体单位</w:t>
      </w:r>
      <w:r>
        <w:rPr>
          <w:rFonts w:hint="eastAsia" w:ascii="宋体" w:hAnsi="宋体"/>
          <w:sz w:val="24"/>
          <w:szCs w:val="24"/>
        </w:rPr>
        <w:t>因扣分值直接达到相应认定等级的不良行为而</w:t>
      </w:r>
      <w:r>
        <w:rPr>
          <w:rFonts w:hint="eastAsia" w:ascii="宋体" w:hAnsi="宋体"/>
          <w:sz w:val="24"/>
          <w:szCs w:val="24"/>
          <w:shd w:val="clear" w:color="auto" w:fill="FFFFFF"/>
        </w:rPr>
        <w:t>被予以不良行为认定的，其涉事项目负责人也一并予以不良行为认定，扣分值、不良行为等级、公告期与所在单位的相同。</w:t>
      </w:r>
    </w:p>
    <w:p>
      <w:pPr>
        <w:spacing w:line="396" w:lineRule="atLeast"/>
        <w:ind w:firstLine="480" w:firstLineChars="200"/>
        <w:rPr>
          <w:rFonts w:ascii="宋体" w:hAnsi="宋体"/>
          <w:sz w:val="24"/>
          <w:szCs w:val="24"/>
          <w:shd w:val="clear" w:color="auto" w:fill="FFFFFF"/>
        </w:rPr>
      </w:pPr>
      <w:r>
        <w:rPr>
          <w:rFonts w:hint="eastAsia" w:ascii="宋体" w:hAnsi="宋体"/>
          <w:sz w:val="24"/>
          <w:szCs w:val="24"/>
          <w:shd w:val="clear" w:color="auto" w:fill="FFFFFF"/>
        </w:rPr>
        <w:t>在企业资质申请、投标等还未确定项目负责人的生产、经营等活动中即被予以不良行为认定的市场主体单位，其应一并予以不良行为认定的自然人应为该企业的法定代表人。</w:t>
      </w:r>
    </w:p>
    <w:p>
      <w:pPr>
        <w:spacing w:line="396" w:lineRule="atLeast"/>
        <w:ind w:firstLine="480" w:firstLineChars="200"/>
        <w:rPr>
          <w:rFonts w:ascii="宋体" w:hAnsi="宋体" w:cs="宋体"/>
          <w:sz w:val="24"/>
          <w:szCs w:val="24"/>
        </w:rPr>
      </w:pPr>
    </w:p>
    <w:p>
      <w:pPr>
        <w:spacing w:line="396" w:lineRule="atLeast"/>
        <w:jc w:val="center"/>
        <w:rPr>
          <w:rFonts w:ascii="黑体" w:hAnsi="宋体" w:eastAsia="黑体"/>
          <w:sz w:val="24"/>
          <w:szCs w:val="24"/>
        </w:rPr>
      </w:pPr>
      <w:r>
        <w:rPr>
          <w:rFonts w:hint="eastAsia" w:ascii="黑体" w:hAnsi="宋体" w:eastAsia="黑体"/>
          <w:sz w:val="24"/>
          <w:szCs w:val="24"/>
        </w:rPr>
        <w:t>第二章  职责分工</w:t>
      </w:r>
    </w:p>
    <w:p>
      <w:pPr>
        <w:spacing w:line="396" w:lineRule="atLeast"/>
        <w:ind w:firstLine="480" w:firstLineChars="200"/>
        <w:rPr>
          <w:rFonts w:ascii="宋体" w:hAnsi="宋体"/>
          <w:sz w:val="24"/>
          <w:szCs w:val="24"/>
        </w:rPr>
      </w:pPr>
      <w:r>
        <w:rPr>
          <w:rFonts w:hint="eastAsia" w:ascii="宋体" w:hAnsi="宋体" w:eastAsia="黑体"/>
          <w:sz w:val="24"/>
          <w:szCs w:val="24"/>
        </w:rPr>
        <w:t>第十条</w:t>
      </w:r>
      <w:r>
        <w:rPr>
          <w:rFonts w:hint="eastAsia" w:ascii="宋体" w:hAnsi="宋体"/>
          <w:sz w:val="24"/>
          <w:szCs w:val="24"/>
        </w:rPr>
        <w:t xml:space="preserve">  市水行政主管部门依照本办法规定，统筹全市市场主体不良行为认定及应用管理工作，包括建立市场主体不良行为认定及应用管理平台，按本办法分工进行不良行为认定，发布不良行为信息，监督各有关单位报送和应用市场主体不良行为信息。</w:t>
      </w:r>
    </w:p>
    <w:p>
      <w:pPr>
        <w:spacing w:line="396" w:lineRule="atLeast"/>
        <w:ind w:firstLine="480" w:firstLineChars="200"/>
        <w:rPr>
          <w:rFonts w:ascii="宋体" w:hAnsi="宋体"/>
          <w:sz w:val="24"/>
          <w:szCs w:val="24"/>
        </w:rPr>
      </w:pPr>
      <w:r>
        <w:rPr>
          <w:rFonts w:hint="eastAsia" w:ascii="宋体" w:hAnsi="宋体" w:eastAsia="黑体"/>
          <w:sz w:val="24"/>
          <w:szCs w:val="24"/>
        </w:rPr>
        <w:t>第十一条</w:t>
      </w:r>
      <w:r>
        <w:rPr>
          <w:rFonts w:hint="eastAsia" w:ascii="宋体" w:hAnsi="宋体"/>
          <w:sz w:val="24"/>
          <w:szCs w:val="24"/>
        </w:rPr>
        <w:t xml:space="preserve">  区水行政主管部门依照本办法规定，负责本辖区市场主体不良行为认定工作，并将认定结果上报市水行政主管部门，监督各有关单位报送和应用市场主体不良行为信息。</w:t>
      </w:r>
    </w:p>
    <w:p>
      <w:pPr>
        <w:spacing w:line="396" w:lineRule="atLeast"/>
        <w:ind w:firstLine="480" w:firstLineChars="200"/>
        <w:rPr>
          <w:rFonts w:ascii="宋体" w:hAnsi="宋体"/>
          <w:sz w:val="24"/>
          <w:szCs w:val="24"/>
        </w:rPr>
      </w:pPr>
      <w:r>
        <w:rPr>
          <w:rFonts w:hint="eastAsia" w:ascii="宋体" w:hAnsi="宋体" w:eastAsia="黑体"/>
          <w:sz w:val="24"/>
          <w:szCs w:val="24"/>
        </w:rPr>
        <w:t>第十二条</w:t>
      </w:r>
      <w:r>
        <w:rPr>
          <w:rFonts w:hint="eastAsia" w:ascii="宋体" w:hAnsi="宋体"/>
          <w:sz w:val="24"/>
          <w:szCs w:val="24"/>
        </w:rPr>
        <w:t xml:space="preserve">  项目法人（建设单位，含水务设施运行维护项目的招标人，在已获得招标人授权的情况下，还包括全过咨询单位、代建单位、项目管理单位，以下同）依照本办法规定，负责收集报送市场主体的不良行为信息，协助水行政主管部门处理市场主体提出的陈述或申辩意见等事宜，落实市场主体不良行为信息的应用。</w:t>
      </w:r>
    </w:p>
    <w:p>
      <w:pPr>
        <w:spacing w:line="396" w:lineRule="atLeast"/>
        <w:ind w:firstLine="480" w:firstLineChars="200"/>
        <w:rPr>
          <w:rFonts w:ascii="宋体" w:hAnsi="宋体"/>
          <w:sz w:val="24"/>
          <w:szCs w:val="24"/>
        </w:rPr>
      </w:pPr>
      <w:r>
        <w:rPr>
          <w:rFonts w:hint="eastAsia" w:ascii="宋体" w:hAnsi="宋体"/>
          <w:sz w:val="24"/>
          <w:szCs w:val="24"/>
        </w:rPr>
        <w:t>区管建设单位、街道办建设的水务工程，项目法人（建设单位）向区水行政主管部门报送不良行为信息；市管建设单位建设的水务工程，项目法人（建设单位）向市水行政主管部门报送不良行为信息。</w:t>
      </w:r>
    </w:p>
    <w:p>
      <w:pPr>
        <w:spacing w:line="396" w:lineRule="atLeast"/>
        <w:ind w:firstLine="480" w:firstLineChars="200"/>
        <w:rPr>
          <w:rFonts w:ascii="宋体" w:hAnsi="宋体"/>
          <w:sz w:val="24"/>
          <w:szCs w:val="24"/>
        </w:rPr>
      </w:pPr>
      <w:r>
        <w:rPr>
          <w:rFonts w:hint="eastAsia" w:ascii="宋体" w:hAnsi="宋体" w:eastAsia="黑体"/>
          <w:sz w:val="24"/>
          <w:szCs w:val="24"/>
        </w:rPr>
        <w:t>第十三条</w:t>
      </w:r>
      <w:r>
        <w:rPr>
          <w:rFonts w:hint="eastAsia" w:ascii="宋体" w:hAnsi="宋体"/>
          <w:sz w:val="24"/>
          <w:szCs w:val="24"/>
        </w:rPr>
        <w:t xml:space="preserve">  市、区水行政主管部门应明确具体部门承办市场主体不良行为认定及应用管理工作，</w:t>
      </w:r>
      <w:r>
        <w:rPr>
          <w:rFonts w:hint="eastAsia" w:ascii="宋体" w:hAnsi="宋体" w:cs="宋体"/>
          <w:sz w:val="24"/>
          <w:szCs w:val="24"/>
          <w:shd w:val="clear" w:color="auto" w:fill="FFFFFF"/>
        </w:rPr>
        <w:t>落实项目经费等必要保障，并</w:t>
      </w:r>
      <w:r>
        <w:rPr>
          <w:rFonts w:hint="eastAsia" w:ascii="宋体" w:hAnsi="宋体"/>
          <w:sz w:val="24"/>
          <w:szCs w:val="24"/>
        </w:rPr>
        <w:t>根据本办法制订具体的不良行为认定实施流程，开展认定工作。</w:t>
      </w:r>
    </w:p>
    <w:p>
      <w:pPr>
        <w:spacing w:line="396" w:lineRule="atLeast"/>
        <w:ind w:firstLine="480" w:firstLineChars="200"/>
        <w:rPr>
          <w:sz w:val="24"/>
          <w:szCs w:val="24"/>
        </w:rPr>
      </w:pPr>
      <w:r>
        <w:rPr>
          <w:rFonts w:hint="eastAsia" w:ascii="宋体" w:hAnsi="宋体"/>
          <w:sz w:val="24"/>
          <w:szCs w:val="24"/>
        </w:rPr>
        <w:t>市、区水行政主管部门可</w:t>
      </w:r>
      <w:r>
        <w:rPr>
          <w:rFonts w:hint="eastAsia"/>
          <w:sz w:val="24"/>
          <w:szCs w:val="24"/>
        </w:rPr>
        <w:t>通过购买服务方式选择与市场主体没有任何利益或隶属关系的独立第三方中介机构协助开展相关工作。</w:t>
      </w:r>
    </w:p>
    <w:p>
      <w:pPr>
        <w:spacing w:line="396" w:lineRule="atLeast"/>
        <w:jc w:val="center"/>
        <w:rPr>
          <w:rFonts w:ascii="黑体" w:hAnsi="宋体" w:eastAsia="黑体"/>
          <w:sz w:val="24"/>
          <w:szCs w:val="24"/>
        </w:rPr>
      </w:pPr>
    </w:p>
    <w:p>
      <w:pPr>
        <w:spacing w:line="396" w:lineRule="atLeast"/>
        <w:jc w:val="center"/>
        <w:rPr>
          <w:rFonts w:ascii="黑体" w:hAnsi="宋体" w:eastAsia="黑体"/>
          <w:sz w:val="24"/>
          <w:szCs w:val="24"/>
        </w:rPr>
      </w:pPr>
      <w:r>
        <w:rPr>
          <w:rFonts w:hint="eastAsia" w:ascii="黑体" w:hAnsi="宋体" w:eastAsia="黑体"/>
          <w:sz w:val="24"/>
          <w:szCs w:val="24"/>
        </w:rPr>
        <w:t>第三章  不良行为的认定</w:t>
      </w:r>
    </w:p>
    <w:p>
      <w:pPr>
        <w:spacing w:line="396" w:lineRule="atLeast"/>
        <w:ind w:firstLine="480" w:firstLineChars="200"/>
        <w:rPr>
          <w:rFonts w:ascii="宋体" w:hAnsi="宋体" w:eastAsia="黑体"/>
          <w:sz w:val="24"/>
          <w:szCs w:val="24"/>
        </w:rPr>
      </w:pPr>
    </w:p>
    <w:p>
      <w:pPr>
        <w:spacing w:line="396" w:lineRule="atLeast"/>
        <w:ind w:firstLine="480" w:firstLineChars="200"/>
        <w:rPr>
          <w:rFonts w:ascii="宋体" w:hAnsi="宋体"/>
          <w:sz w:val="24"/>
          <w:szCs w:val="24"/>
        </w:rPr>
      </w:pPr>
      <w:r>
        <w:rPr>
          <w:rFonts w:hint="eastAsia" w:ascii="宋体" w:hAnsi="宋体" w:eastAsia="黑体"/>
          <w:sz w:val="24"/>
          <w:szCs w:val="24"/>
        </w:rPr>
        <w:t>第十四条</w:t>
      </w:r>
      <w:r>
        <w:rPr>
          <w:rFonts w:hint="eastAsia" w:ascii="宋体" w:hAnsi="宋体"/>
          <w:sz w:val="24"/>
          <w:szCs w:val="24"/>
        </w:rPr>
        <w:t xml:space="preserve">  不良行为认定凭证包括但不限于以下文书材料：</w:t>
      </w:r>
    </w:p>
    <w:p>
      <w:pPr>
        <w:spacing w:line="410" w:lineRule="atLeast"/>
        <w:ind w:firstLine="480" w:firstLineChars="200"/>
        <w:rPr>
          <w:rFonts w:ascii="宋体" w:hAnsi="宋体"/>
          <w:sz w:val="24"/>
          <w:szCs w:val="24"/>
        </w:rPr>
      </w:pPr>
      <w:r>
        <w:rPr>
          <w:rFonts w:hint="eastAsia" w:ascii="宋体" w:hAnsi="宋体"/>
          <w:sz w:val="24"/>
          <w:szCs w:val="24"/>
        </w:rPr>
        <w:t>（一）项目法人（建设单位）在履职过程中，发现市场主体在质量、安全、投资、进度等方面存在不良行为而作出的处理文书(含经建设单位确认的其他相关单位作出的处理文书)；</w:t>
      </w:r>
    </w:p>
    <w:p>
      <w:pPr>
        <w:spacing w:line="410" w:lineRule="atLeast"/>
        <w:ind w:firstLine="480" w:firstLineChars="200"/>
        <w:rPr>
          <w:rFonts w:ascii="宋体" w:hAnsi="宋体"/>
          <w:sz w:val="24"/>
          <w:szCs w:val="24"/>
        </w:rPr>
      </w:pPr>
      <w:r>
        <w:rPr>
          <w:rFonts w:hint="eastAsia" w:ascii="宋体" w:hAnsi="宋体"/>
          <w:sz w:val="24"/>
          <w:szCs w:val="24"/>
        </w:rPr>
        <w:t>（二）区级及以上水行政主管部门（含议事协调机构）或其委托的监督机构在履职过程中，发现市场主体存在不良行为而作出的整改通知文书、停工整改通知文书、通报、行政处罚决定书等有关处理文书；</w:t>
      </w:r>
    </w:p>
    <w:p>
      <w:pPr>
        <w:spacing w:line="410" w:lineRule="atLeast"/>
        <w:ind w:firstLine="480" w:firstLineChars="200"/>
        <w:rPr>
          <w:rFonts w:ascii="宋体" w:hAnsi="宋体"/>
          <w:sz w:val="24"/>
          <w:szCs w:val="24"/>
        </w:rPr>
      </w:pPr>
      <w:r>
        <w:rPr>
          <w:rFonts w:hint="eastAsia" w:ascii="宋体" w:hAnsi="宋体"/>
          <w:sz w:val="24"/>
          <w:szCs w:val="24"/>
        </w:rPr>
        <w:t>（三）区级及以上相关行政职能部门（含议事协调机构）在日常管理、检查、验收、事故处理过程中发现或受理投诉并经查证属实，市场主体存在不良行为所作出的处理文书；</w:t>
      </w:r>
    </w:p>
    <w:p>
      <w:pPr>
        <w:spacing w:line="410" w:lineRule="atLeast"/>
        <w:ind w:firstLine="480" w:firstLineChars="200"/>
        <w:rPr>
          <w:rFonts w:ascii="宋体" w:hAnsi="宋体"/>
          <w:sz w:val="24"/>
          <w:szCs w:val="24"/>
        </w:rPr>
      </w:pPr>
      <w:r>
        <w:rPr>
          <w:rFonts w:hint="eastAsia" w:ascii="宋体" w:hAnsi="宋体"/>
          <w:sz w:val="24"/>
          <w:szCs w:val="24"/>
        </w:rPr>
        <w:t>（四）区级及以上相关行政职能部门（含议事协调机构）对水务建设工程进行稽查、审计所形成的最终稽查报告或审计报告；</w:t>
      </w:r>
    </w:p>
    <w:p>
      <w:pPr>
        <w:spacing w:line="410" w:lineRule="atLeast"/>
        <w:ind w:firstLine="480" w:firstLineChars="200"/>
        <w:rPr>
          <w:rFonts w:ascii="宋体" w:hAnsi="宋体"/>
          <w:sz w:val="24"/>
          <w:szCs w:val="24"/>
        </w:rPr>
      </w:pPr>
      <w:r>
        <w:rPr>
          <w:rFonts w:hint="eastAsia" w:ascii="宋体" w:hAnsi="宋体"/>
          <w:sz w:val="24"/>
          <w:szCs w:val="24"/>
        </w:rPr>
        <w:t>（五）人民法院、检察院、纪检监察机关针对市场主体的不良行为所作出的处理（记录）类文书；</w:t>
      </w:r>
    </w:p>
    <w:p>
      <w:pPr>
        <w:spacing w:line="410" w:lineRule="atLeast"/>
        <w:ind w:firstLine="480" w:firstLineChars="200"/>
        <w:rPr>
          <w:rFonts w:ascii="宋体" w:hAnsi="宋体"/>
          <w:sz w:val="24"/>
          <w:szCs w:val="24"/>
        </w:rPr>
      </w:pPr>
      <w:r>
        <w:rPr>
          <w:rFonts w:hint="eastAsia" w:ascii="宋体" w:hAnsi="宋体"/>
          <w:sz w:val="24"/>
          <w:szCs w:val="24"/>
        </w:rPr>
        <w:t>（六）其他行政职能部门（含议事协调机构）履职过程中依法作出的涉及市场主体不良行为的处理文书。</w:t>
      </w:r>
    </w:p>
    <w:p>
      <w:pPr>
        <w:spacing w:line="410" w:lineRule="atLeast"/>
        <w:ind w:firstLine="480" w:firstLineChars="200"/>
        <w:rPr>
          <w:rFonts w:ascii="宋体" w:hAnsi="宋体"/>
          <w:sz w:val="24"/>
          <w:szCs w:val="24"/>
        </w:rPr>
      </w:pPr>
      <w:r>
        <w:rPr>
          <w:rFonts w:hint="eastAsia" w:ascii="宋体" w:hAnsi="宋体" w:eastAsia="黑体"/>
          <w:sz w:val="24"/>
          <w:szCs w:val="24"/>
        </w:rPr>
        <w:t>第十五条</w:t>
      </w:r>
      <w:r>
        <w:rPr>
          <w:rFonts w:hint="eastAsia" w:ascii="宋体" w:hAnsi="宋体"/>
          <w:sz w:val="24"/>
          <w:szCs w:val="24"/>
        </w:rPr>
        <w:t xml:space="preserve">  除下列情形外，项目法人（建设单位）发现市场主体存在不良行为，符合《深圳市水务建设市场主体不良行为认定标准》的，应自收到不良行为认定凭证之日起10个工作日内填写《不良行为申报表》（附件2），并附相关证明材料（含影像资料、相关单位出具的处理文书等）按规定报相应水行政主管部门。对市、区水行政主管部门或其委托的监督机构就市场主体在工程施工过程中存在不良行为而首次作出整改通知文书、通报文书的情形（但该不良行为涉及事故、欠薪以及主体结构工程、危大工程、重要隐蔽工程、特种设备等质量与安全问题的除外），项目法人（建设单位）如认为该不良行为所造成的影响较轻且市场主体已按要求予以了及时整改合格，不需申报该市场主体不良行为认定的，则项目法人（建设单位）应自收到整改通知文书、通报文书之日起10个工作日内向水行政主管部门提交不予申报该市场主体不良行为的书面材料并附上项目法人（建设单位）领导班子集体研究决定的会议纪要等相关文书。</w:t>
      </w:r>
    </w:p>
    <w:p>
      <w:pPr>
        <w:spacing w:line="410" w:lineRule="atLeast"/>
        <w:ind w:firstLine="480" w:firstLineChars="200"/>
        <w:rPr>
          <w:rFonts w:ascii="宋体" w:hAnsi="宋体"/>
          <w:sz w:val="24"/>
          <w:szCs w:val="24"/>
        </w:rPr>
      </w:pPr>
      <w:r>
        <w:rPr>
          <w:rFonts w:hint="eastAsia" w:ascii="宋体" w:hAnsi="宋体"/>
          <w:sz w:val="24"/>
          <w:szCs w:val="24"/>
        </w:rPr>
        <w:t>（一）在一个年度内，当市场主体不良行为发生所达成的扣分值累计达到更高等级的不良行为而予以调整等级重新进行认定不良行为的，由市水行政主管部门按认定程序直接启动初步认定等相关工作；</w:t>
      </w:r>
    </w:p>
    <w:p>
      <w:pPr>
        <w:spacing w:line="410" w:lineRule="atLeast"/>
        <w:ind w:firstLine="480" w:firstLineChars="200"/>
        <w:rPr>
          <w:rFonts w:ascii="宋体" w:hAnsi="宋体"/>
          <w:sz w:val="24"/>
          <w:szCs w:val="24"/>
        </w:rPr>
      </w:pPr>
      <w:r>
        <w:rPr>
          <w:rFonts w:hint="eastAsia" w:ascii="宋体" w:hAnsi="宋体"/>
          <w:sz w:val="24"/>
          <w:szCs w:val="24"/>
        </w:rPr>
        <w:t>（二）市场主体在资质申请、公开信息资料提供等活动中存在不良行为事项时，由水行政主管部门根据相关部门已作出的不良行为认定凭证，按认定程序直接启动初步认定等相关工作；</w:t>
      </w:r>
    </w:p>
    <w:p>
      <w:pPr>
        <w:spacing w:line="410" w:lineRule="atLeast"/>
        <w:ind w:firstLine="480" w:firstLineChars="200"/>
        <w:rPr>
          <w:rFonts w:ascii="宋体" w:hAnsi="宋体"/>
          <w:sz w:val="24"/>
          <w:szCs w:val="24"/>
        </w:rPr>
      </w:pPr>
      <w:r>
        <w:rPr>
          <w:rFonts w:hint="eastAsia" w:ascii="宋体" w:hAnsi="宋体"/>
          <w:sz w:val="24"/>
          <w:szCs w:val="24"/>
        </w:rPr>
        <w:t>（三）市场主体在招投标活动中存在不良行为事项时，则由该项目的招标人根据相关部门已作出的不良行为认定凭证，依规填写《不良行为申报表》并附相关证明材料（含影像资料、相关单位出具的处理文书等）后报相应水行政主管部门；</w:t>
      </w:r>
    </w:p>
    <w:p>
      <w:pPr>
        <w:spacing w:line="410" w:lineRule="atLeast"/>
        <w:ind w:firstLine="480" w:firstLineChars="200"/>
        <w:rPr>
          <w:rFonts w:ascii="宋体" w:hAnsi="宋体"/>
          <w:sz w:val="24"/>
          <w:szCs w:val="24"/>
        </w:rPr>
      </w:pPr>
      <w:r>
        <w:rPr>
          <w:rFonts w:hint="eastAsia" w:ascii="宋体" w:hAnsi="宋体"/>
          <w:sz w:val="24"/>
          <w:szCs w:val="24"/>
        </w:rPr>
        <w:t>（四）社会资本投资建设的工程建设单位（不含PPP项目社会资本投资建设的工程建设单位）存在不良行为事项时，当该不良行为事项是由监督机构检查发现的，则由该监督机构依规填写《不良行为申报表》，并附相关证明材料（含影像资料、相关单位出具的处理文书等）后报相应水行政主管部门；当该不良行为事项是由水行政主管部门或同级有关行政主管部门或上级有关行政主管部门在检查、稽查、审计、考核、评比等工作中发现的，则由水行政主管部门根据已作出的不良行为认定凭证，按认定程序直接启动初步认定等相关工作。</w:t>
      </w:r>
    </w:p>
    <w:p>
      <w:pPr>
        <w:spacing w:line="410" w:lineRule="atLeast"/>
        <w:ind w:firstLine="480" w:firstLineChars="200"/>
        <w:rPr>
          <w:rFonts w:ascii="宋体" w:hAnsi="宋体"/>
          <w:sz w:val="24"/>
          <w:szCs w:val="24"/>
        </w:rPr>
      </w:pPr>
      <w:r>
        <w:rPr>
          <w:rFonts w:hint="eastAsia" w:ascii="宋体" w:hAnsi="宋体"/>
          <w:sz w:val="24"/>
          <w:szCs w:val="24"/>
        </w:rPr>
        <w:t>（五）PPP项目社会资本投资建设的工程建设单位存在不良行为事项时，则由该PPP项目社会资本建设单位的招标人根据相关部门已作出的不良行为认定凭证，依规填写《不良行为申报表》并附相关证明材料（含影像资料、相关单位出具的处理文书等）后报相应水行政主管部门。</w:t>
      </w:r>
    </w:p>
    <w:p>
      <w:pPr>
        <w:spacing w:line="410" w:lineRule="atLeast"/>
        <w:ind w:firstLine="480" w:firstLineChars="200"/>
        <w:rPr>
          <w:rFonts w:ascii="宋体" w:hAnsi="宋体"/>
          <w:sz w:val="24"/>
          <w:szCs w:val="24"/>
        </w:rPr>
      </w:pPr>
      <w:r>
        <w:rPr>
          <w:rFonts w:hint="eastAsia" w:ascii="宋体" w:hAnsi="宋体" w:eastAsia="黑体"/>
          <w:sz w:val="24"/>
          <w:szCs w:val="24"/>
        </w:rPr>
        <w:t>第十六条</w:t>
      </w:r>
      <w:r>
        <w:rPr>
          <w:rFonts w:hint="eastAsia" w:ascii="宋体" w:hAnsi="宋体"/>
          <w:sz w:val="24"/>
          <w:szCs w:val="24"/>
        </w:rPr>
        <w:t xml:space="preserve">  水行政主管部门受理不良行为认定申请，且审查后认为市场主体存在不良行为的，应先向市场主体出具《不良行为初步认定告知书》（附件3、4）；认为不良行为认定申请不成立的情况下，应书面向申请单位给予回复或说明；认为不良行为认定申请成立，但发现市场主体名称、涉事项目名称、认定凭证、适用的认定标准、扣分值等申报信息有误的，应要求申请单位给予更正后方可开展后续认定工作，申请单位应根据要求及时予以更正。</w:t>
      </w:r>
    </w:p>
    <w:p>
      <w:pPr>
        <w:spacing w:line="410" w:lineRule="atLeast"/>
        <w:ind w:firstLine="480" w:firstLineChars="200"/>
        <w:rPr>
          <w:rFonts w:ascii="宋体" w:hAnsi="宋体"/>
          <w:sz w:val="24"/>
          <w:szCs w:val="24"/>
        </w:rPr>
      </w:pPr>
      <w:r>
        <w:rPr>
          <w:rFonts w:hint="eastAsia" w:ascii="宋体" w:hAnsi="宋体"/>
          <w:sz w:val="24"/>
          <w:szCs w:val="24"/>
        </w:rPr>
        <w:t>市场主体对不良行为初步认定有异议的，应在收到《不良行为初步认定告知书》之日起10个工作日内将书面陈述或申辩材料送达水行政主管部门，水行政主管部门应在收到书面陈述或申辩之日起按规定予以核实并书面答复市场主体。水行政主管部门可根据工作需要，请项目法人（建设单位）、不良行为认定凭证签发部门等相关单位协助处理市场主体的不良行为陈述或申辩工作，相关单位应自接到水行政主管部门的书面协助处理文书后，于10个工作日内予以书面回复。</w:t>
      </w:r>
    </w:p>
    <w:p>
      <w:pPr>
        <w:spacing w:line="410" w:lineRule="atLeast"/>
        <w:ind w:firstLine="480" w:firstLineChars="200"/>
        <w:rPr>
          <w:rFonts w:ascii="宋体" w:hAnsi="宋体"/>
          <w:sz w:val="24"/>
          <w:szCs w:val="24"/>
        </w:rPr>
      </w:pPr>
      <w:r>
        <w:rPr>
          <w:rFonts w:hint="eastAsia" w:ascii="宋体" w:hAnsi="宋体"/>
          <w:sz w:val="24"/>
          <w:szCs w:val="24"/>
        </w:rPr>
        <w:t>在初</w:t>
      </w:r>
      <w:r>
        <w:rPr>
          <w:rFonts w:hint="eastAsia" w:ascii="宋体" w:hAnsi="宋体"/>
          <w:spacing w:val="-2"/>
          <w:sz w:val="24"/>
          <w:szCs w:val="24"/>
        </w:rPr>
        <w:t>步认定告知书送达市场主体后10个工作日内，未收到相应市场主体的书面陈述或</w:t>
      </w:r>
      <w:r>
        <w:rPr>
          <w:rFonts w:hint="eastAsia" w:ascii="宋体" w:hAnsi="宋体"/>
          <w:sz w:val="24"/>
          <w:szCs w:val="24"/>
        </w:rPr>
        <w:t>申辩材料的，视为市场主体对认定无异议。</w:t>
      </w:r>
    </w:p>
    <w:p>
      <w:pPr>
        <w:spacing w:line="396" w:lineRule="atLeast"/>
        <w:ind w:firstLine="480" w:firstLineChars="200"/>
        <w:rPr>
          <w:rFonts w:ascii="宋体" w:hAnsi="宋体"/>
          <w:sz w:val="24"/>
          <w:szCs w:val="24"/>
        </w:rPr>
      </w:pPr>
      <w:r>
        <w:rPr>
          <w:rFonts w:hint="eastAsia" w:ascii="宋体" w:hAnsi="宋体"/>
          <w:sz w:val="24"/>
          <w:szCs w:val="24"/>
        </w:rPr>
        <w:t>水行政主管部门对不良行为予以认定的，应向市场主体出具《不良行为认定通知书》（附件</w:t>
      </w:r>
      <w:r>
        <w:rPr>
          <w:rFonts w:ascii="宋体" w:hAnsi="宋体"/>
          <w:sz w:val="24"/>
          <w:szCs w:val="24"/>
        </w:rPr>
        <w:t>5</w:t>
      </w:r>
      <w:r>
        <w:rPr>
          <w:rFonts w:hint="eastAsia" w:ascii="宋体" w:hAnsi="宋体"/>
          <w:sz w:val="24"/>
          <w:szCs w:val="24"/>
        </w:rPr>
        <w:t>、6），自认定之日起7个工作日内送达市场主体并按本办法第十九条规定向社会公告，具体流程见《深圳市水务建设市场主体不良行为认定管理流程图》（附件</w:t>
      </w:r>
      <w:r>
        <w:rPr>
          <w:rFonts w:ascii="宋体" w:hAnsi="宋体"/>
          <w:sz w:val="24"/>
          <w:szCs w:val="24"/>
        </w:rPr>
        <w:t>7</w:t>
      </w:r>
      <w:r>
        <w:rPr>
          <w:rFonts w:hint="eastAsia" w:ascii="宋体" w:hAnsi="宋体"/>
          <w:sz w:val="24"/>
          <w:szCs w:val="24"/>
        </w:rPr>
        <w:t>）。</w:t>
      </w:r>
    </w:p>
    <w:p>
      <w:pPr>
        <w:spacing w:line="396" w:lineRule="atLeast"/>
        <w:ind w:firstLine="480" w:firstLineChars="200"/>
        <w:rPr>
          <w:sz w:val="24"/>
          <w:szCs w:val="24"/>
        </w:rPr>
      </w:pPr>
      <w:r>
        <w:rPr>
          <w:rFonts w:hint="eastAsia" w:ascii="宋体" w:hAnsi="宋体"/>
          <w:sz w:val="24"/>
          <w:szCs w:val="24"/>
        </w:rPr>
        <w:t>市场主体对不良行为最终认定不服的，可在收到《不良行为认定通知书》后依法申请行政复议或提起行政诉讼。</w:t>
      </w:r>
      <w:r>
        <w:rPr>
          <w:rFonts w:hint="eastAsia"/>
          <w:sz w:val="24"/>
          <w:szCs w:val="24"/>
        </w:rPr>
        <w:t>申请行政复议或者提起行政诉讼期间，不良行为决定不停止执行。</w:t>
      </w:r>
    </w:p>
    <w:p>
      <w:pPr>
        <w:spacing w:line="396" w:lineRule="atLeast"/>
        <w:ind w:firstLine="480" w:firstLineChars="200"/>
        <w:rPr>
          <w:rFonts w:ascii="宋体" w:hAnsi="宋体"/>
          <w:sz w:val="24"/>
          <w:szCs w:val="24"/>
        </w:rPr>
      </w:pPr>
      <w:r>
        <w:rPr>
          <w:rFonts w:hint="eastAsia" w:ascii="宋体" w:hAnsi="宋体" w:eastAsia="黑体"/>
          <w:sz w:val="24"/>
          <w:szCs w:val="24"/>
        </w:rPr>
        <w:t>第十七条</w:t>
      </w:r>
      <w:r>
        <w:rPr>
          <w:rFonts w:hint="eastAsia" w:ascii="宋体" w:hAnsi="宋体"/>
          <w:sz w:val="24"/>
          <w:szCs w:val="24"/>
        </w:rPr>
        <w:t xml:space="preserve">  原不良行为认定凭证被依法变更或撤销的，水行政主管部门应根据市场主体的更正申请重新组织认定。</w:t>
      </w:r>
    </w:p>
    <w:p>
      <w:pPr>
        <w:spacing w:line="396" w:lineRule="atLeast"/>
        <w:ind w:firstLine="480" w:firstLineChars="200"/>
        <w:rPr>
          <w:rFonts w:ascii="宋体" w:hAnsi="宋体"/>
          <w:sz w:val="24"/>
          <w:szCs w:val="24"/>
        </w:rPr>
      </w:pPr>
      <w:r>
        <w:rPr>
          <w:rFonts w:hint="eastAsia" w:ascii="宋体" w:hAnsi="宋体" w:eastAsia="黑体"/>
          <w:sz w:val="24"/>
          <w:szCs w:val="24"/>
        </w:rPr>
        <w:t>第十八条</w:t>
      </w:r>
      <w:r>
        <w:rPr>
          <w:rFonts w:hint="eastAsia" w:ascii="宋体" w:hAnsi="宋体"/>
          <w:sz w:val="24"/>
          <w:szCs w:val="24"/>
        </w:rPr>
        <w:t xml:space="preserve">  不良行为认定工作文书采取直接送达、邮寄送达、公告送达、留置送达等方式送达，原则上优先采取直接送达或（和）邮寄送达方式。</w:t>
      </w:r>
    </w:p>
    <w:p>
      <w:pPr>
        <w:spacing w:line="396" w:lineRule="atLeast"/>
        <w:ind w:firstLine="480" w:firstLineChars="200"/>
        <w:rPr>
          <w:rFonts w:ascii="宋体" w:hAnsi="宋体"/>
          <w:sz w:val="24"/>
          <w:szCs w:val="24"/>
        </w:rPr>
      </w:pPr>
    </w:p>
    <w:p>
      <w:pPr>
        <w:spacing w:line="396" w:lineRule="atLeast"/>
        <w:jc w:val="center"/>
        <w:rPr>
          <w:rFonts w:ascii="黑体" w:hAnsi="宋体" w:eastAsia="黑体"/>
          <w:sz w:val="24"/>
          <w:szCs w:val="24"/>
        </w:rPr>
      </w:pPr>
      <w:r>
        <w:rPr>
          <w:rFonts w:hint="eastAsia" w:ascii="黑体" w:hAnsi="宋体" w:eastAsia="黑体"/>
          <w:sz w:val="24"/>
          <w:szCs w:val="24"/>
        </w:rPr>
        <w:t>第四章  不良行为信息的发布及应用</w:t>
      </w:r>
    </w:p>
    <w:p>
      <w:pPr>
        <w:spacing w:line="396" w:lineRule="atLeast"/>
        <w:ind w:firstLine="480" w:firstLineChars="200"/>
        <w:rPr>
          <w:rFonts w:ascii="宋体" w:hAnsi="宋体" w:eastAsia="黑体"/>
          <w:sz w:val="24"/>
          <w:szCs w:val="24"/>
        </w:rPr>
      </w:pPr>
    </w:p>
    <w:p>
      <w:pPr>
        <w:spacing w:line="396" w:lineRule="atLeast"/>
        <w:ind w:firstLine="480" w:firstLineChars="200"/>
        <w:rPr>
          <w:rFonts w:ascii="宋体" w:hAnsi="宋体"/>
          <w:sz w:val="24"/>
          <w:szCs w:val="24"/>
        </w:rPr>
      </w:pPr>
      <w:r>
        <w:rPr>
          <w:rFonts w:hint="eastAsia" w:ascii="宋体" w:hAnsi="宋体" w:eastAsia="黑体"/>
          <w:sz w:val="24"/>
          <w:szCs w:val="24"/>
        </w:rPr>
        <w:t>第十九条</w:t>
      </w:r>
      <w:r>
        <w:rPr>
          <w:rFonts w:hint="eastAsia" w:ascii="宋体" w:hAnsi="宋体"/>
          <w:sz w:val="24"/>
          <w:szCs w:val="24"/>
        </w:rPr>
        <w:t xml:space="preserve">  市、区水行政主管部门按本办法规定予以认定的市场主体不良行为信息，应于送达市场主体之日起7个工作日内在市水行政主管部门官方网站公告，自公告之日始生效。</w:t>
      </w:r>
    </w:p>
    <w:p>
      <w:pPr>
        <w:spacing w:line="396" w:lineRule="atLeast"/>
        <w:ind w:firstLine="480" w:firstLineChars="200"/>
        <w:rPr>
          <w:rFonts w:ascii="宋体" w:hAnsi="宋体" w:cs="宋体"/>
          <w:sz w:val="24"/>
          <w:szCs w:val="24"/>
        </w:rPr>
      </w:pPr>
      <w:r>
        <w:rPr>
          <w:rFonts w:hint="eastAsia" w:ascii="宋体" w:hAnsi="宋体"/>
          <w:sz w:val="24"/>
          <w:szCs w:val="24"/>
        </w:rPr>
        <w:t>其中，由区水行政主管部门负责认定的市场主体不良行为信息，区水行政主管部门应当自送达市场主体之日起3个工作日内将认定结果报送至市水行政主管部门</w:t>
      </w:r>
      <w:r>
        <w:rPr>
          <w:rFonts w:hint="eastAsia" w:ascii="宋体" w:hAnsi="宋体" w:cs="宋体"/>
          <w:sz w:val="24"/>
          <w:szCs w:val="24"/>
        </w:rPr>
        <w:t>，严重等级不良行为信息还应同时抄送至同级财政、住建、人社等部门实行联合惩戒；市水行政主管部门自收到区水行政主管部门报送的市场主体不良行为信息之日</w:t>
      </w:r>
      <w:r>
        <w:rPr>
          <w:rFonts w:hint="eastAsia" w:ascii="宋体" w:hAnsi="宋体"/>
          <w:sz w:val="24"/>
          <w:szCs w:val="24"/>
        </w:rPr>
        <w:t>起</w:t>
      </w:r>
      <w:r>
        <w:rPr>
          <w:rFonts w:hint="eastAsia" w:ascii="宋体" w:hAnsi="宋体" w:cs="宋体"/>
          <w:sz w:val="24"/>
          <w:szCs w:val="24"/>
        </w:rPr>
        <w:t>4个工作日内在其官方网站公告，并将严重等级不良行为信息抄送至上级水行政主管部门和市财政、住建、人社等部门，实行联合惩戒。</w:t>
      </w:r>
    </w:p>
    <w:p>
      <w:pPr>
        <w:spacing w:line="396" w:lineRule="atLeast"/>
        <w:ind w:firstLine="480" w:firstLineChars="200"/>
        <w:rPr>
          <w:rFonts w:ascii="宋体" w:hAnsi="宋体" w:cs="宋体"/>
          <w:sz w:val="24"/>
          <w:szCs w:val="24"/>
        </w:rPr>
      </w:pPr>
      <w:r>
        <w:rPr>
          <w:rFonts w:hint="eastAsia" w:ascii="宋体" w:hAnsi="宋体" w:cs="宋体"/>
          <w:sz w:val="24"/>
          <w:szCs w:val="24"/>
        </w:rPr>
        <w:t>由市水行政主管部门负责认定的市场主体不良行为信息，应当自送达市场主体之日</w:t>
      </w:r>
      <w:r>
        <w:rPr>
          <w:rFonts w:hint="eastAsia" w:ascii="宋体" w:hAnsi="宋体"/>
          <w:sz w:val="24"/>
          <w:szCs w:val="24"/>
        </w:rPr>
        <w:t>起</w:t>
      </w:r>
      <w:r>
        <w:rPr>
          <w:rFonts w:hint="eastAsia" w:ascii="宋体" w:hAnsi="宋体" w:cs="宋体"/>
          <w:sz w:val="24"/>
          <w:szCs w:val="24"/>
        </w:rPr>
        <w:t>7个工作日内将认定结果在其官方网站公告，严重等级不良行为信息还应抄送至上级水行政主管部门和市财政、住建、人社等部门，实行联合惩戒。</w:t>
      </w:r>
    </w:p>
    <w:p>
      <w:pPr>
        <w:spacing w:line="396" w:lineRule="atLeast"/>
        <w:ind w:firstLine="480" w:firstLineChars="200"/>
        <w:rPr>
          <w:rFonts w:ascii="宋体" w:hAnsi="宋体"/>
          <w:sz w:val="24"/>
          <w:szCs w:val="24"/>
        </w:rPr>
      </w:pPr>
      <w:r>
        <w:rPr>
          <w:rFonts w:hint="eastAsia" w:ascii="宋体" w:hAnsi="宋体" w:eastAsia="黑体"/>
          <w:sz w:val="24"/>
          <w:szCs w:val="24"/>
        </w:rPr>
        <w:t>第二十条</w:t>
      </w:r>
      <w:r>
        <w:rPr>
          <w:rFonts w:hint="eastAsia" w:ascii="宋体" w:hAnsi="宋体"/>
          <w:sz w:val="24"/>
          <w:szCs w:val="24"/>
        </w:rPr>
        <w:t xml:space="preserve">  记录等级不良行为的公告期截止至当年度的12月31日；轻微、较严重等级不良行为的公告期限为一年；严重等级不良行为的公告期与拒绝其参加本市行政区域范围内政府投资的（含PPP项目以及使用国有企业事业单位资金，并且该资金占控股或者主导地位的，下同）水务建设市场招投标、政府采购（含自行采购）活动的期限相同。公告期计算规定如下：</w:t>
      </w:r>
    </w:p>
    <w:p>
      <w:pPr>
        <w:spacing w:line="396" w:lineRule="atLeast"/>
        <w:ind w:firstLine="480" w:firstLineChars="200"/>
        <w:rPr>
          <w:rFonts w:ascii="宋体" w:hAnsi="宋体"/>
          <w:sz w:val="24"/>
          <w:szCs w:val="24"/>
        </w:rPr>
      </w:pPr>
      <w:r>
        <w:rPr>
          <w:rFonts w:hint="eastAsia" w:ascii="宋体" w:hAnsi="宋体"/>
          <w:sz w:val="24"/>
          <w:szCs w:val="24"/>
        </w:rPr>
        <w:t>（一）在一个年度内，因扣分值直接达到相应认定等级的不良行为，其公告期自网上公告之日始计算；</w:t>
      </w:r>
    </w:p>
    <w:p>
      <w:pPr>
        <w:spacing w:line="396" w:lineRule="atLeast"/>
        <w:ind w:firstLine="480" w:firstLineChars="200"/>
        <w:rPr>
          <w:rFonts w:ascii="宋体" w:hAnsi="宋体"/>
          <w:sz w:val="24"/>
          <w:szCs w:val="24"/>
        </w:rPr>
      </w:pPr>
      <w:r>
        <w:rPr>
          <w:rFonts w:hint="eastAsia" w:ascii="宋体" w:hAnsi="宋体"/>
          <w:sz w:val="24"/>
          <w:szCs w:val="24"/>
        </w:rPr>
        <w:t>（二）在一个年度内，因扣分值累计达到更高等级的不良行为时而予以调整等级重新进行认定的，其公告期自网上重新公告之日始计算，原低等级的不良行为公告期同时终止；</w:t>
      </w:r>
    </w:p>
    <w:p>
      <w:pPr>
        <w:spacing w:line="396" w:lineRule="atLeast"/>
        <w:ind w:firstLine="480" w:firstLineChars="200"/>
        <w:rPr>
          <w:rFonts w:ascii="宋体" w:hAnsi="宋体"/>
          <w:sz w:val="24"/>
          <w:szCs w:val="24"/>
        </w:rPr>
      </w:pPr>
      <w:r>
        <w:rPr>
          <w:rFonts w:hint="eastAsia" w:ascii="宋体" w:hAnsi="宋体"/>
          <w:sz w:val="24"/>
          <w:szCs w:val="24"/>
        </w:rPr>
        <w:t>（三）在严重等级不良行为公告期内，市场主体又发生不良行为而被水行政主管部门依规予以严重等级不良行为认定的，新严重等级不良行为与未执行完毕的严重等级不良行为合并执行，以二者中截止日期较远的严重等级不良行为公告期为最终执行的严重等级不良行为公告期。</w:t>
      </w:r>
    </w:p>
    <w:p>
      <w:pPr>
        <w:spacing w:line="410" w:lineRule="atLeast"/>
        <w:ind w:firstLine="480" w:firstLineChars="200"/>
        <w:rPr>
          <w:rFonts w:ascii="宋体" w:hAnsi="宋体" w:cs="宋体"/>
          <w:sz w:val="24"/>
          <w:szCs w:val="24"/>
        </w:rPr>
      </w:pPr>
      <w:r>
        <w:rPr>
          <w:rFonts w:hint="eastAsia" w:ascii="宋体" w:hAnsi="宋体" w:eastAsia="黑体"/>
          <w:sz w:val="24"/>
          <w:szCs w:val="24"/>
        </w:rPr>
        <w:t>第二十一条</w:t>
      </w:r>
      <w:r>
        <w:rPr>
          <w:rFonts w:hint="eastAsia" w:ascii="宋体" w:hAnsi="宋体"/>
          <w:sz w:val="24"/>
          <w:szCs w:val="24"/>
        </w:rPr>
        <w:t xml:space="preserve">  </w:t>
      </w:r>
      <w:r>
        <w:rPr>
          <w:rFonts w:hint="eastAsia" w:ascii="宋体" w:hAnsi="宋体" w:cs="宋体"/>
          <w:sz w:val="24"/>
          <w:szCs w:val="24"/>
        </w:rPr>
        <w:t>市场主体在记录、轻微、较严重等级不良行为公告期内，其在水务建设市场从事生产、经营等活动中，因参加抢险救灾、抗击疫情工作而获得区级及以上人民政府嘉奖或通报表扬（详见附件</w:t>
      </w:r>
      <w:r>
        <w:rPr>
          <w:rFonts w:ascii="宋体" w:hAnsi="宋体" w:cs="宋体"/>
          <w:sz w:val="24"/>
          <w:szCs w:val="24"/>
        </w:rPr>
        <w:t>9</w:t>
      </w:r>
      <w:r>
        <w:rPr>
          <w:rFonts w:hint="eastAsia" w:ascii="宋体" w:hAnsi="宋体" w:cs="宋体"/>
          <w:sz w:val="24"/>
          <w:szCs w:val="24"/>
        </w:rPr>
        <w:t>——深圳市水务建设市场主体嘉奖（通报表扬）清单及缩短不良行为公告期一览表）的，则由市场主体自获得人民政府嘉奖或通报表扬之日起一个周年内向市水行政主管部门提出缩短不良行为公告期的申请，逾期申请的，不再享受缩短不良行为公告期的权利。缩短不良行为公告期的申请在市水行政主管部门门户网站上向社会公众公示，公示期为5个工作日。</w:t>
      </w:r>
    </w:p>
    <w:p>
      <w:pPr>
        <w:spacing w:line="396" w:lineRule="atLeast"/>
        <w:ind w:firstLine="480" w:firstLineChars="200"/>
        <w:rPr>
          <w:rFonts w:ascii="宋体" w:hAnsi="宋体"/>
          <w:sz w:val="24"/>
          <w:szCs w:val="24"/>
        </w:rPr>
      </w:pPr>
      <w:r>
        <w:rPr>
          <w:rFonts w:hint="eastAsia" w:ascii="宋体" w:hAnsi="宋体" w:cs="宋体"/>
          <w:sz w:val="24"/>
          <w:szCs w:val="24"/>
        </w:rPr>
        <w:t>公示期届满无异议的，市水行政主管部门应当根据可缩短的不良行为公告期，缩短市场主体的记录、轻微、较严重等级不良行为公告期并向社会公告。同一市场主体在同一项水务建设市场生产、经营等活动中获得多项嘉奖（通报表扬）的，只能对其中一项嘉奖（通报表扬）申请缩短不良行为公告期，不得多项累计或者重复申请缩短不良行为公告期。</w:t>
      </w:r>
      <w:r>
        <w:rPr>
          <w:rFonts w:hint="eastAsia" w:ascii="宋体" w:hAnsi="宋体"/>
          <w:sz w:val="24"/>
          <w:szCs w:val="24"/>
        </w:rPr>
        <w:t>但公告期的缩短并不影响该市场主体在一个年度内的不良行为扣分值累计。</w:t>
      </w:r>
    </w:p>
    <w:p>
      <w:pPr>
        <w:spacing w:line="410" w:lineRule="atLeast"/>
        <w:ind w:firstLine="480" w:firstLineChars="200"/>
        <w:rPr>
          <w:rFonts w:ascii="宋体" w:hAnsi="宋体" w:cs="宋体"/>
          <w:sz w:val="24"/>
          <w:szCs w:val="24"/>
        </w:rPr>
      </w:pPr>
      <w:r>
        <w:rPr>
          <w:rFonts w:hint="eastAsia" w:ascii="宋体" w:hAnsi="宋体" w:cs="宋体"/>
          <w:sz w:val="24"/>
          <w:szCs w:val="24"/>
        </w:rPr>
        <w:t>市场主体提交的缩短不良行为公告期申请，存在隐瞒真实情况、弄虚作假等行为的，由水行政主管部门根据本办法及其他有关规定从严、从重处理。</w:t>
      </w:r>
    </w:p>
    <w:p>
      <w:pPr>
        <w:pStyle w:val="49"/>
        <w:spacing w:before="0" w:beforeAutospacing="0" w:after="0" w:afterAutospacing="0" w:line="540" w:lineRule="atLeast"/>
        <w:ind w:firstLine="480" w:firstLineChars="200"/>
        <w:rPr>
          <w:rFonts w:ascii="宋体" w:hAnsi="宋体"/>
        </w:rPr>
      </w:pPr>
      <w:r>
        <w:rPr>
          <w:rFonts w:hint="eastAsia" w:ascii="宋体" w:hAnsi="宋体" w:eastAsia="黑体"/>
        </w:rPr>
        <w:t>第二十二条</w:t>
      </w:r>
      <w:r>
        <w:rPr>
          <w:rFonts w:hint="eastAsia" w:ascii="宋体" w:hAnsi="宋体"/>
        </w:rPr>
        <w:t xml:space="preserve">  水行政主管部门应对存在不良行为的市场主体在行政审批、资质管理、日常监管等方面从严进行监管。</w:t>
      </w:r>
    </w:p>
    <w:p>
      <w:pPr>
        <w:spacing w:line="396" w:lineRule="atLeast"/>
        <w:ind w:firstLine="480" w:firstLineChars="200"/>
        <w:rPr>
          <w:rFonts w:ascii="宋体" w:hAnsi="宋体"/>
          <w:sz w:val="24"/>
          <w:szCs w:val="24"/>
        </w:rPr>
      </w:pPr>
      <w:r>
        <w:rPr>
          <w:rFonts w:hint="eastAsia" w:ascii="宋体" w:hAnsi="宋体" w:eastAsia="黑体"/>
          <w:sz w:val="24"/>
          <w:szCs w:val="24"/>
        </w:rPr>
        <w:t>第二十三条</w:t>
      </w:r>
      <w:r>
        <w:rPr>
          <w:rFonts w:hint="eastAsia" w:ascii="宋体" w:hAnsi="宋体"/>
          <w:sz w:val="24"/>
          <w:szCs w:val="24"/>
        </w:rPr>
        <w:t xml:space="preserve">  水务建设市场招标人及招标代理机构应主动在市水行政主管部门等有关官方网站查询市场主体不良行为信息，并在招标文件或公告中载明本项目拒绝被水行政主管部门记严重等级不良行为且在公告期内的市场主体参与投标；招投标过程中，还应主动将公告期内市场主体的记录、轻微、较严重等级不良行为信息向评标、定标专家提供，作为评标、定标的重要参考。</w:t>
      </w:r>
    </w:p>
    <w:p>
      <w:pPr>
        <w:spacing w:line="396" w:lineRule="atLeast"/>
        <w:ind w:firstLine="480" w:firstLineChars="200"/>
        <w:rPr>
          <w:rFonts w:ascii="宋体" w:hAnsi="宋体"/>
          <w:sz w:val="24"/>
          <w:szCs w:val="24"/>
        </w:rPr>
      </w:pPr>
      <w:r>
        <w:rPr>
          <w:rFonts w:hint="eastAsia" w:ascii="宋体" w:hAnsi="宋体"/>
          <w:sz w:val="24"/>
          <w:szCs w:val="24"/>
        </w:rPr>
        <w:t>其中，将被予以较严重等级不良行为认定的市场主体定为中标候选人的，招标人应向招投标监管部门及有关纪检监察部门提交书面说明，阐明将该市场主体定为中标候选人的详细原因。</w:t>
      </w:r>
    </w:p>
    <w:p>
      <w:pPr>
        <w:spacing w:line="396" w:lineRule="atLeast"/>
        <w:ind w:firstLine="480" w:firstLineChars="200"/>
        <w:rPr>
          <w:rFonts w:ascii="宋体" w:hAnsi="宋体"/>
          <w:sz w:val="24"/>
          <w:szCs w:val="24"/>
        </w:rPr>
      </w:pPr>
      <w:r>
        <w:rPr>
          <w:rFonts w:hint="eastAsia" w:ascii="宋体" w:hAnsi="宋体" w:eastAsia="黑体"/>
          <w:sz w:val="24"/>
          <w:szCs w:val="24"/>
        </w:rPr>
        <w:t>第二十四条</w:t>
      </w:r>
      <w:r>
        <w:rPr>
          <w:rFonts w:hint="eastAsia" w:ascii="宋体" w:hAnsi="宋体"/>
          <w:sz w:val="24"/>
          <w:szCs w:val="24"/>
        </w:rPr>
        <w:t xml:space="preserve">  对存在较严重及以上等级不良行为的市场主体单位，其在公告期内申请评优评奖时，水行政主管部门一律不予推荐，并且不得申报水务发展专项资金项目。</w:t>
      </w:r>
    </w:p>
    <w:p>
      <w:pPr>
        <w:spacing w:line="396" w:lineRule="atLeast"/>
        <w:ind w:firstLine="480" w:firstLineChars="200"/>
        <w:rPr>
          <w:rFonts w:ascii="宋体" w:hAnsi="宋体"/>
          <w:sz w:val="24"/>
          <w:szCs w:val="24"/>
        </w:rPr>
      </w:pPr>
      <w:r>
        <w:rPr>
          <w:rFonts w:hint="eastAsia" w:ascii="宋体" w:hAnsi="宋体"/>
          <w:sz w:val="24"/>
          <w:szCs w:val="24"/>
        </w:rPr>
        <w:t>对存在严重等级不良行为的项目负责人（或企业法定代表人），在公告期内，其不得在本市行政区域范围内的水务建设市场从（执）业（所签署的相关资料、文件无效）、水行政主管部门及其所属企业事业单位不得对其录取或聘用、不得参加水利水电专业技术职称评审。</w:t>
      </w:r>
    </w:p>
    <w:p>
      <w:pPr>
        <w:spacing w:line="396" w:lineRule="atLeast"/>
        <w:ind w:firstLine="480" w:firstLineChars="200"/>
        <w:rPr>
          <w:rFonts w:ascii="宋体" w:hAnsi="宋体"/>
          <w:sz w:val="24"/>
          <w:szCs w:val="24"/>
        </w:rPr>
      </w:pPr>
      <w:r>
        <w:rPr>
          <w:rFonts w:hint="eastAsia" w:ascii="宋体" w:hAnsi="宋体" w:eastAsia="黑体"/>
          <w:sz w:val="24"/>
          <w:szCs w:val="24"/>
        </w:rPr>
        <w:t>第二十五条</w:t>
      </w:r>
      <w:r>
        <w:rPr>
          <w:rFonts w:hint="eastAsia" w:ascii="宋体" w:hAnsi="宋体"/>
          <w:sz w:val="24"/>
          <w:szCs w:val="24"/>
        </w:rPr>
        <w:t xml:space="preserve">  在严重等级不良行为公告期内，应按照《深圳市水务建设市场主体严重不良行为信息在招投标方面的应用细则》规定，拒绝该市场主体在本市行政区域范围内参加政府投资的水务建设市场招投标、政府采购（含自行采购）活动，实行联合惩戒；社会投资（不含PPP项目）的水务建设市场招投标活动，招标人可拒绝该市场主体参加投标。</w:t>
      </w:r>
    </w:p>
    <w:p>
      <w:pPr>
        <w:spacing w:line="396" w:lineRule="exact"/>
        <w:ind w:firstLine="480" w:firstLineChars="200"/>
        <w:rPr>
          <w:sz w:val="24"/>
          <w:szCs w:val="24"/>
        </w:rPr>
      </w:pPr>
      <w:r>
        <w:rPr>
          <w:rFonts w:hint="eastAsia" w:ascii="宋体" w:hAnsi="宋体" w:eastAsia="黑体"/>
          <w:sz w:val="24"/>
          <w:szCs w:val="24"/>
        </w:rPr>
        <w:t xml:space="preserve">第二十六条  </w:t>
      </w:r>
      <w:r>
        <w:rPr>
          <w:rFonts w:hint="eastAsia"/>
          <w:sz w:val="24"/>
          <w:szCs w:val="24"/>
        </w:rPr>
        <w:t>行政处罚等决定书或司法文书中限制市场主体承接业务活动的期限与按本办法作出的拒绝期限不一致的，按时间较长的期限执行。但当按本办法作出的拒绝期限长于行政处罚等决定书或司法文书中已经作出的限制市场主体承接业务活动的期限时，水行政主管部门应当折抵相应的拒绝期限。</w:t>
      </w:r>
    </w:p>
    <w:p>
      <w:pPr>
        <w:spacing w:line="410" w:lineRule="atLeast"/>
        <w:jc w:val="center"/>
        <w:rPr>
          <w:rFonts w:ascii="黑体" w:hAnsi="宋体" w:eastAsia="黑体"/>
          <w:sz w:val="24"/>
          <w:szCs w:val="24"/>
        </w:rPr>
      </w:pPr>
    </w:p>
    <w:p>
      <w:pPr>
        <w:spacing w:line="410" w:lineRule="atLeast"/>
        <w:jc w:val="center"/>
        <w:rPr>
          <w:rFonts w:ascii="黑体" w:hAnsi="宋体" w:eastAsia="黑体"/>
          <w:sz w:val="24"/>
          <w:szCs w:val="24"/>
        </w:rPr>
      </w:pPr>
      <w:r>
        <w:rPr>
          <w:rFonts w:hint="eastAsia" w:ascii="黑体" w:hAnsi="宋体" w:eastAsia="黑体"/>
          <w:sz w:val="24"/>
          <w:szCs w:val="24"/>
        </w:rPr>
        <w:t>第五章  监督管理</w:t>
      </w:r>
    </w:p>
    <w:p>
      <w:pPr>
        <w:spacing w:line="410" w:lineRule="atLeast"/>
        <w:ind w:firstLine="480" w:firstLineChars="200"/>
        <w:rPr>
          <w:rFonts w:ascii="宋体" w:hAnsi="宋体"/>
          <w:sz w:val="24"/>
          <w:szCs w:val="24"/>
        </w:rPr>
      </w:pPr>
      <w:r>
        <w:rPr>
          <w:rFonts w:hint="eastAsia" w:ascii="宋体" w:hAnsi="宋体" w:eastAsia="黑体"/>
          <w:sz w:val="24"/>
          <w:szCs w:val="24"/>
        </w:rPr>
        <w:t>第二十七条</w:t>
      </w:r>
      <w:r>
        <w:rPr>
          <w:rFonts w:hint="eastAsia" w:ascii="宋体" w:hAnsi="宋体"/>
          <w:sz w:val="24"/>
          <w:szCs w:val="24"/>
        </w:rPr>
        <w:t xml:space="preserve">  项目法人（建设单位）等有关单位应按本办法规定主动、及时开展不良行为申报工作，向水行政主管部门报送市场主体的不良行为信息并对其真实性负责。对未及时开展不良行为认证工作、未及时报送的不良行为信息或报送信息不真实，水行政主管部门应对项目法人（建设单位）等负有申报义务的相关单位予以通报批评；对多次违反本办法规定，不认真履行申报义务的项目法人（建设单位）等负有申报义务的相关单位，水行政主管部门可视情况向该单位的上级主管部门或有关纪检监察部门通报。</w:t>
      </w:r>
    </w:p>
    <w:p>
      <w:pPr>
        <w:spacing w:line="410" w:lineRule="atLeast"/>
        <w:ind w:firstLine="480" w:firstLineChars="200"/>
        <w:rPr>
          <w:rFonts w:ascii="宋体" w:hAnsi="宋体"/>
          <w:sz w:val="24"/>
          <w:szCs w:val="24"/>
        </w:rPr>
      </w:pPr>
      <w:r>
        <w:rPr>
          <w:rFonts w:hint="eastAsia" w:ascii="宋体" w:hAnsi="宋体" w:eastAsia="黑体"/>
          <w:sz w:val="24"/>
          <w:szCs w:val="24"/>
        </w:rPr>
        <w:t>第二十八条</w:t>
      </w:r>
      <w:r>
        <w:rPr>
          <w:rFonts w:hint="eastAsia" w:ascii="宋体" w:hAnsi="宋体"/>
          <w:sz w:val="24"/>
          <w:szCs w:val="24"/>
        </w:rPr>
        <w:t xml:space="preserve">  市场主体不良行为的报送、认定及结果应用接受社会监督，任何单位和个人对报送、认定及应用过程中的违规行为有权举报和投诉。水行政主管部门应对举报和投诉依法依规进行调查处理。</w:t>
      </w:r>
    </w:p>
    <w:p>
      <w:pPr>
        <w:spacing w:line="410" w:lineRule="atLeast"/>
        <w:ind w:firstLine="480" w:firstLineChars="200"/>
        <w:rPr>
          <w:rFonts w:ascii="宋体" w:hAnsi="宋体"/>
          <w:sz w:val="24"/>
          <w:szCs w:val="24"/>
        </w:rPr>
      </w:pPr>
      <w:r>
        <w:rPr>
          <w:rFonts w:hint="eastAsia" w:ascii="宋体" w:hAnsi="宋体" w:eastAsia="黑体"/>
          <w:sz w:val="24"/>
          <w:szCs w:val="24"/>
        </w:rPr>
        <w:t xml:space="preserve">第二十九条  </w:t>
      </w:r>
      <w:r>
        <w:rPr>
          <w:rFonts w:hint="eastAsia" w:ascii="宋体" w:hAnsi="宋体"/>
          <w:sz w:val="24"/>
          <w:szCs w:val="24"/>
        </w:rPr>
        <w:t>相关人员在不良行为报送、认定和发布等工作中存在玩忽职守、弄虚作假或徇私舞弊等行为的，依法依规追究相关责任人责任；涉嫌犯罪的，依法移送司法机关处理。</w:t>
      </w:r>
    </w:p>
    <w:p>
      <w:pPr>
        <w:spacing w:line="410" w:lineRule="atLeast"/>
        <w:ind w:firstLine="480" w:firstLineChars="200"/>
        <w:rPr>
          <w:rFonts w:ascii="宋体" w:hAnsi="宋体"/>
          <w:sz w:val="24"/>
          <w:szCs w:val="24"/>
        </w:rPr>
      </w:pPr>
    </w:p>
    <w:p>
      <w:pPr>
        <w:spacing w:line="410" w:lineRule="atLeast"/>
        <w:jc w:val="center"/>
        <w:rPr>
          <w:rFonts w:ascii="黑体" w:hAnsi="宋体" w:eastAsia="黑体"/>
          <w:sz w:val="24"/>
          <w:szCs w:val="24"/>
        </w:rPr>
      </w:pPr>
      <w:r>
        <w:rPr>
          <w:rFonts w:hint="eastAsia" w:ascii="黑体" w:hAnsi="宋体" w:eastAsia="黑体"/>
          <w:sz w:val="24"/>
          <w:szCs w:val="24"/>
        </w:rPr>
        <w:t>第六章  附    则</w:t>
      </w:r>
    </w:p>
    <w:p>
      <w:pPr>
        <w:spacing w:line="410" w:lineRule="atLeast"/>
        <w:ind w:firstLine="480" w:firstLineChars="200"/>
        <w:rPr>
          <w:rFonts w:ascii="宋体" w:hAnsi="宋体" w:eastAsia="黑体"/>
          <w:sz w:val="24"/>
          <w:szCs w:val="24"/>
        </w:rPr>
      </w:pPr>
    </w:p>
    <w:p>
      <w:pPr>
        <w:spacing w:line="410" w:lineRule="atLeast"/>
        <w:ind w:firstLine="480" w:firstLineChars="200"/>
        <w:rPr>
          <w:rFonts w:ascii="宋体" w:hAnsi="宋体"/>
          <w:sz w:val="24"/>
          <w:szCs w:val="24"/>
        </w:rPr>
      </w:pPr>
      <w:r>
        <w:rPr>
          <w:rFonts w:hint="eastAsia" w:ascii="宋体" w:hAnsi="宋体" w:eastAsia="黑体"/>
          <w:sz w:val="24"/>
          <w:szCs w:val="24"/>
        </w:rPr>
        <w:t>第三十条</w:t>
      </w:r>
      <w:r>
        <w:rPr>
          <w:rFonts w:hint="eastAsia" w:ascii="宋体" w:hAnsi="宋体"/>
          <w:sz w:val="24"/>
          <w:szCs w:val="24"/>
        </w:rPr>
        <w:t xml:space="preserve">  市水行政主管部门根据监督管理的实际情况，可对本办法附件《深圳市水务建设市场主体不良行为认定标准》《深圳市水务建设市场主体严重不良行为信息在招投标方面的应用细则》进行修订，经在其官方网站公示5个工作日后实施。</w:t>
      </w:r>
    </w:p>
    <w:p>
      <w:pPr>
        <w:spacing w:line="410" w:lineRule="atLeast"/>
        <w:ind w:firstLine="480" w:firstLineChars="200"/>
        <w:rPr>
          <w:rFonts w:ascii="宋体" w:hAnsi="宋体"/>
          <w:sz w:val="24"/>
          <w:szCs w:val="24"/>
        </w:rPr>
      </w:pPr>
      <w:r>
        <w:rPr>
          <w:rFonts w:hint="eastAsia" w:ascii="宋体" w:hAnsi="宋体" w:eastAsia="黑体"/>
          <w:sz w:val="24"/>
          <w:szCs w:val="24"/>
        </w:rPr>
        <w:t>第三十一条</w:t>
      </w:r>
      <w:r>
        <w:rPr>
          <w:rFonts w:hint="eastAsia" w:ascii="宋体" w:hAnsi="宋体"/>
          <w:sz w:val="24"/>
          <w:szCs w:val="24"/>
        </w:rPr>
        <w:t xml:space="preserve">  中标单位若为联合体，则不良行为认定对象为联合体牵头单位及其项目负责人和发生该不良行为的具体成员单位及其项目负责人，均一并予以不良行为认定，扣分值、不良行为认定等级等均相同。</w:t>
      </w:r>
    </w:p>
    <w:p>
      <w:pPr>
        <w:spacing w:line="410" w:lineRule="atLeast"/>
        <w:ind w:firstLine="480" w:firstLineChars="200"/>
        <w:rPr>
          <w:rFonts w:ascii="宋体" w:hAnsi="宋体"/>
          <w:sz w:val="24"/>
          <w:szCs w:val="24"/>
        </w:rPr>
      </w:pPr>
      <w:r>
        <w:rPr>
          <w:rFonts w:hint="eastAsia" w:ascii="宋体" w:hAnsi="宋体"/>
          <w:sz w:val="24"/>
          <w:szCs w:val="24"/>
        </w:rPr>
        <w:t>中标单位中标后，成立项目公司具体负责项目具体实施工作的，则不良行为认定对象为中标单位及其项目负责人（如无项目负责人时，为企业法人代表）和项目公司及其项目负责人（如无项目负责人时，为项目公司企业法人代表），均一并予以不良行为认定，扣分值、不良行为认定等级等均相同。</w:t>
      </w:r>
    </w:p>
    <w:p>
      <w:pPr>
        <w:spacing w:line="410" w:lineRule="atLeast"/>
        <w:ind w:firstLine="480" w:firstLineChars="200"/>
        <w:rPr>
          <w:rFonts w:ascii="宋体" w:hAnsi="宋体"/>
          <w:sz w:val="24"/>
          <w:szCs w:val="24"/>
        </w:rPr>
      </w:pPr>
      <w:r>
        <w:rPr>
          <w:rFonts w:hint="eastAsia" w:ascii="宋体" w:hAnsi="宋体"/>
          <w:sz w:val="24"/>
          <w:szCs w:val="24"/>
        </w:rPr>
        <w:t>实施总承包的项目，则不良行为认定对象为总承包中标单位及其项目总负责人。</w:t>
      </w:r>
    </w:p>
    <w:p>
      <w:pPr>
        <w:spacing w:line="410" w:lineRule="atLeast"/>
        <w:ind w:firstLine="480" w:firstLineChars="200"/>
        <w:rPr>
          <w:rFonts w:ascii="宋体" w:hAnsi="宋体"/>
          <w:sz w:val="24"/>
          <w:szCs w:val="24"/>
        </w:rPr>
      </w:pPr>
      <w:r>
        <w:rPr>
          <w:rFonts w:hint="eastAsia" w:ascii="宋体" w:hAnsi="宋体"/>
          <w:sz w:val="24"/>
          <w:szCs w:val="24"/>
        </w:rPr>
        <w:t>鉴于全过程咨询单位、项目管理单位可能承担勘察、设计、监理、造价咨询、招标代理等多个市场主体的工作内容，因此，全过程咨询单位、项目管理单位的不良行为认定标准，应视该不良行为所涉及的具体事项，在《深圳市水务建设市场主体不良行为认定标准》中选择适用的标准。</w:t>
      </w:r>
    </w:p>
    <w:p>
      <w:pPr>
        <w:spacing w:line="410" w:lineRule="exact"/>
        <w:ind w:firstLine="480" w:firstLineChars="200"/>
        <w:rPr>
          <w:rFonts w:ascii="宋体" w:hAnsi="宋体"/>
          <w:sz w:val="24"/>
          <w:szCs w:val="24"/>
        </w:rPr>
      </w:pPr>
      <w:r>
        <w:rPr>
          <w:rFonts w:hint="eastAsia" w:ascii="宋体" w:hAnsi="宋体" w:eastAsia="黑体"/>
          <w:sz w:val="24"/>
          <w:szCs w:val="24"/>
        </w:rPr>
        <w:t>第三十二条</w:t>
      </w:r>
      <w:r>
        <w:rPr>
          <w:rFonts w:hint="eastAsia" w:ascii="宋体" w:hAnsi="宋体"/>
          <w:sz w:val="24"/>
          <w:szCs w:val="24"/>
        </w:rPr>
        <w:t xml:space="preserve">  本办法所称议事协调机构，是指区级及以上党委、政府因工作需要而成立的议事协调机构，包括但不限于大气污染防治指挥部及其办公室、水污染治理指挥部及其办公室、联席会议等。</w:t>
      </w:r>
    </w:p>
    <w:p>
      <w:pPr>
        <w:spacing w:line="410" w:lineRule="exact"/>
        <w:ind w:firstLine="480" w:firstLineChars="200"/>
        <w:rPr>
          <w:rFonts w:ascii="宋体" w:hAnsi="宋体"/>
          <w:sz w:val="24"/>
          <w:szCs w:val="24"/>
        </w:rPr>
      </w:pPr>
      <w:r>
        <w:rPr>
          <w:rFonts w:hint="eastAsia" w:ascii="宋体" w:hAnsi="宋体" w:eastAsia="黑体"/>
          <w:sz w:val="24"/>
          <w:szCs w:val="24"/>
        </w:rPr>
        <w:t>第三十三条</w:t>
      </w:r>
      <w:r>
        <w:rPr>
          <w:rFonts w:hint="eastAsia" w:ascii="宋体" w:hAnsi="宋体"/>
          <w:sz w:val="24"/>
          <w:szCs w:val="24"/>
        </w:rPr>
        <w:t xml:space="preserve">  本办法自20  年  月  日起施行，有效期5年。</w:t>
      </w:r>
    </w:p>
    <w:p>
      <w:pPr>
        <w:spacing w:line="410" w:lineRule="atLeast"/>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p>
    <w:p>
      <w:pPr>
        <w:spacing w:line="410" w:lineRule="atLeast"/>
        <w:ind w:firstLine="480" w:firstLineChars="200"/>
        <w:rPr>
          <w:rFonts w:ascii="宋体" w:hAnsi="宋体"/>
          <w:sz w:val="24"/>
          <w:szCs w:val="24"/>
        </w:rPr>
      </w:pPr>
      <w:r>
        <w:rPr>
          <w:rFonts w:hint="eastAsia" w:ascii="宋体" w:hAnsi="宋体"/>
          <w:sz w:val="24"/>
          <w:szCs w:val="24"/>
        </w:rPr>
        <w:t>附件：1．深圳市水务建设市场主体不良行为认定标准</w:t>
      </w:r>
    </w:p>
    <w:p>
      <w:pPr>
        <w:spacing w:line="410" w:lineRule="atLeast"/>
        <w:ind w:firstLine="1200" w:firstLineChars="500"/>
        <w:rPr>
          <w:rFonts w:ascii="宋体" w:hAnsi="宋体"/>
          <w:sz w:val="24"/>
          <w:szCs w:val="24"/>
        </w:rPr>
      </w:pPr>
      <w:r>
        <w:rPr>
          <w:rFonts w:hint="eastAsia" w:ascii="宋体" w:hAnsi="宋体"/>
          <w:sz w:val="24"/>
          <w:szCs w:val="24"/>
        </w:rPr>
        <w:t>2．不良行为申报表</w:t>
      </w:r>
    </w:p>
    <w:p>
      <w:pPr>
        <w:spacing w:line="410" w:lineRule="atLeast"/>
        <w:ind w:firstLine="1200" w:firstLineChars="500"/>
        <w:rPr>
          <w:rFonts w:ascii="宋体" w:hAnsi="宋体"/>
          <w:sz w:val="24"/>
          <w:szCs w:val="24"/>
        </w:rPr>
      </w:pPr>
      <w:r>
        <w:rPr>
          <w:rFonts w:hint="eastAsia" w:ascii="宋体" w:hAnsi="宋体"/>
          <w:sz w:val="24"/>
          <w:szCs w:val="24"/>
        </w:rPr>
        <w:t>3．不良行为初步认定告知书（单位）</w:t>
      </w:r>
    </w:p>
    <w:p>
      <w:pPr>
        <w:spacing w:line="410" w:lineRule="atLeast"/>
        <w:ind w:firstLine="1200" w:firstLineChars="500"/>
        <w:rPr>
          <w:rFonts w:ascii="宋体" w:hAnsi="宋体"/>
          <w:sz w:val="24"/>
          <w:szCs w:val="24"/>
        </w:rPr>
      </w:pPr>
      <w:r>
        <w:rPr>
          <w:rFonts w:hint="eastAsia" w:ascii="宋体" w:hAnsi="宋体"/>
          <w:sz w:val="24"/>
          <w:szCs w:val="24"/>
        </w:rPr>
        <w:t>4. 不良行为初步认定告知书（个人）</w:t>
      </w:r>
    </w:p>
    <w:p>
      <w:pPr>
        <w:spacing w:line="410" w:lineRule="atLeast"/>
        <w:ind w:firstLine="1200" w:firstLineChars="500"/>
        <w:rPr>
          <w:rFonts w:ascii="宋体" w:hAnsi="宋体"/>
          <w:sz w:val="24"/>
          <w:szCs w:val="24"/>
        </w:rPr>
      </w:pPr>
      <w:r>
        <w:rPr>
          <w:rFonts w:ascii="宋体" w:hAnsi="宋体"/>
          <w:sz w:val="24"/>
          <w:szCs w:val="24"/>
        </w:rPr>
        <w:t>5</w:t>
      </w:r>
      <w:r>
        <w:rPr>
          <w:rFonts w:hint="eastAsia" w:ascii="宋体" w:hAnsi="宋体"/>
          <w:sz w:val="24"/>
          <w:szCs w:val="24"/>
        </w:rPr>
        <w:t>．不良行为认定通知书（单位）</w:t>
      </w:r>
    </w:p>
    <w:p>
      <w:pPr>
        <w:spacing w:line="410" w:lineRule="atLeast"/>
        <w:ind w:firstLine="1200" w:firstLineChars="500"/>
        <w:rPr>
          <w:rFonts w:ascii="宋体" w:hAnsi="宋体"/>
          <w:sz w:val="24"/>
          <w:szCs w:val="24"/>
        </w:rPr>
      </w:pPr>
      <w:r>
        <w:rPr>
          <w:rFonts w:hint="eastAsia" w:ascii="宋体" w:hAnsi="宋体"/>
          <w:sz w:val="24"/>
          <w:szCs w:val="24"/>
        </w:rPr>
        <w:t>6. 不良行为认定通知书（个人）</w:t>
      </w:r>
    </w:p>
    <w:p>
      <w:pPr>
        <w:spacing w:line="410" w:lineRule="atLeast"/>
        <w:ind w:firstLine="1200" w:firstLineChars="500"/>
        <w:rPr>
          <w:rFonts w:ascii="宋体" w:hAnsi="宋体"/>
          <w:sz w:val="24"/>
          <w:szCs w:val="24"/>
        </w:rPr>
      </w:pPr>
      <w:r>
        <w:rPr>
          <w:rFonts w:ascii="宋体" w:hAnsi="宋体"/>
          <w:sz w:val="24"/>
          <w:szCs w:val="24"/>
        </w:rPr>
        <w:t>7</w:t>
      </w:r>
      <w:r>
        <w:rPr>
          <w:rFonts w:hint="eastAsia" w:ascii="宋体" w:hAnsi="宋体"/>
          <w:sz w:val="24"/>
          <w:szCs w:val="24"/>
        </w:rPr>
        <w:t>．深圳市水务建设市场主体不良行为认定管理流程图</w:t>
      </w:r>
    </w:p>
    <w:p>
      <w:pPr>
        <w:spacing w:line="410" w:lineRule="atLeast"/>
        <w:ind w:firstLine="1200" w:firstLineChars="500"/>
        <w:rPr>
          <w:rFonts w:ascii="宋体" w:hAnsi="宋体"/>
          <w:sz w:val="24"/>
          <w:szCs w:val="24"/>
        </w:rPr>
      </w:pPr>
      <w:r>
        <w:rPr>
          <w:rFonts w:ascii="宋体" w:hAnsi="宋体"/>
          <w:sz w:val="24"/>
          <w:szCs w:val="24"/>
        </w:rPr>
        <w:t>8</w:t>
      </w:r>
      <w:r>
        <w:rPr>
          <w:rFonts w:hint="eastAsia" w:ascii="宋体" w:hAnsi="宋体"/>
          <w:sz w:val="24"/>
          <w:szCs w:val="24"/>
        </w:rPr>
        <w:t>．深圳市水务建设市场主体严重不良行为信息在招投标方面的应用细则</w:t>
      </w:r>
    </w:p>
    <w:p>
      <w:pPr>
        <w:spacing w:line="410" w:lineRule="atLeast"/>
        <w:ind w:left="1549" w:leftChars="566" w:hanging="360" w:hangingChars="150"/>
        <w:rPr>
          <w:rFonts w:ascii="宋体" w:hAnsi="宋体" w:cs="宋体"/>
          <w:sz w:val="24"/>
          <w:szCs w:val="24"/>
        </w:rPr>
      </w:pPr>
      <w:r>
        <w:rPr>
          <w:rFonts w:ascii="宋体" w:hAnsi="宋体"/>
          <w:sz w:val="24"/>
          <w:szCs w:val="24"/>
        </w:rPr>
        <w:t>9</w:t>
      </w:r>
      <w:r>
        <w:rPr>
          <w:rFonts w:hint="eastAsia" w:ascii="宋体" w:hAnsi="宋体"/>
          <w:sz w:val="24"/>
          <w:szCs w:val="24"/>
        </w:rPr>
        <w:t>.</w:t>
      </w:r>
      <w:r>
        <w:rPr>
          <w:rFonts w:ascii="宋体" w:hAnsi="宋体"/>
          <w:sz w:val="24"/>
          <w:szCs w:val="24"/>
        </w:rPr>
        <w:t xml:space="preserve"> </w:t>
      </w:r>
      <w:r>
        <w:rPr>
          <w:rFonts w:hint="eastAsia" w:ascii="宋体" w:hAnsi="宋体" w:cs="宋体"/>
          <w:sz w:val="24"/>
          <w:szCs w:val="24"/>
        </w:rPr>
        <w:t>深圳市水务建设市场主体嘉奖（通报表扬）清单及缩短不良行为公告期一览表</w:t>
      </w:r>
    </w:p>
    <w:p>
      <w:pPr>
        <w:spacing w:line="410" w:lineRule="atLeast"/>
        <w:ind w:firstLine="1200" w:firstLineChars="500"/>
        <w:rPr>
          <w:rFonts w:ascii="宋体" w:hAnsi="宋体" w:cs="宋体"/>
          <w:sz w:val="24"/>
          <w:szCs w:val="24"/>
        </w:rPr>
      </w:pPr>
    </w:p>
    <w:p>
      <w:pPr>
        <w:spacing w:line="410" w:lineRule="atLeast"/>
        <w:ind w:firstLine="1200" w:firstLineChars="500"/>
        <w:rPr>
          <w:rFonts w:ascii="宋体" w:hAnsi="宋体" w:cs="宋体"/>
          <w:sz w:val="24"/>
          <w:szCs w:val="24"/>
        </w:rPr>
      </w:pPr>
    </w:p>
    <w:p>
      <w:pPr>
        <w:spacing w:line="410" w:lineRule="atLeast"/>
        <w:ind w:firstLine="1800" w:firstLineChars="500"/>
        <w:rPr>
          <w:rFonts w:ascii="宋体" w:hAnsi="宋体"/>
          <w:color w:val="FF0000"/>
          <w:sz w:val="36"/>
          <w:szCs w:val="36"/>
        </w:rPr>
        <w:sectPr>
          <w:footerReference r:id="rId3" w:type="default"/>
          <w:footerReference r:id="rId4" w:type="even"/>
          <w:pgSz w:w="11906" w:h="16838"/>
          <w:pgMar w:top="2268" w:right="1418" w:bottom="2268" w:left="1588" w:header="1418" w:footer="1418" w:gutter="0"/>
          <w:cols w:space="720" w:num="1"/>
          <w:docGrid w:linePitch="312" w:charSpace="0"/>
        </w:sectPr>
      </w:pPr>
    </w:p>
    <w:p>
      <w:pPr>
        <w:jc w:val="left"/>
      </w:pPr>
      <w:r>
        <w:rPr>
          <w:rFonts w:hint="eastAsia"/>
        </w:rPr>
        <w:t>附件1</w:t>
      </w:r>
    </w:p>
    <w:p>
      <w:pPr>
        <w:jc w:val="center"/>
        <w:rPr>
          <w:rFonts w:ascii="方正小标宋_GBK" w:eastAsia="方正小标宋_GBK"/>
          <w:sz w:val="28"/>
          <w:szCs w:val="28"/>
        </w:rPr>
      </w:pPr>
      <w:r>
        <w:rPr>
          <w:rFonts w:hint="eastAsia" w:ascii="方正小标宋_GBK" w:eastAsia="方正小标宋_GBK"/>
          <w:sz w:val="32"/>
          <w:szCs w:val="28"/>
        </w:rPr>
        <w:t>深圳市水务建设市场主体不良行为认定标准</w:t>
      </w:r>
    </w:p>
    <w:p>
      <w:pPr>
        <w:jc w:val="center"/>
        <w:rPr>
          <w:b/>
          <w:sz w:val="28"/>
          <w:szCs w:val="28"/>
        </w:rPr>
      </w:pPr>
    </w:p>
    <w:tbl>
      <w:tblPr>
        <w:tblStyle w:val="53"/>
        <w:tblW w:w="13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501"/>
        <w:gridCol w:w="6237"/>
        <w:gridCol w:w="1843"/>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567"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市场主体</w:t>
            </w:r>
          </w:p>
        </w:tc>
        <w:tc>
          <w:tcPr>
            <w:tcW w:w="567"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行为类别</w:t>
            </w:r>
          </w:p>
        </w:tc>
        <w:tc>
          <w:tcPr>
            <w:tcW w:w="501"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序号</w:t>
            </w:r>
          </w:p>
        </w:tc>
        <w:tc>
          <w:tcPr>
            <w:tcW w:w="6237"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不良行为</w:t>
            </w:r>
          </w:p>
        </w:tc>
        <w:tc>
          <w:tcPr>
            <w:tcW w:w="1843"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扣分值</w:t>
            </w:r>
          </w:p>
        </w:tc>
        <w:tc>
          <w:tcPr>
            <w:tcW w:w="4151" w:type="dxa"/>
            <w:vAlign w:val="center"/>
          </w:tcPr>
          <w:p>
            <w:pPr>
              <w:spacing w:line="260" w:lineRule="exact"/>
              <w:ind w:left="-42" w:leftChars="-20" w:right="-42" w:rightChars="-20"/>
              <w:jc w:val="center"/>
              <w:rPr>
                <w:rFonts w:ascii="黑体" w:hAnsi="宋体" w:eastAsia="黑体"/>
                <w:sz w:val="16"/>
                <w:szCs w:val="16"/>
              </w:rPr>
            </w:pPr>
            <w:r>
              <w:rPr>
                <w:rFonts w:hint="eastAsia" w:ascii="黑体" w:hAnsi="宋体" w:eastAsia="黑体"/>
                <w:sz w:val="16"/>
                <w:szCs w:val="16"/>
              </w:rPr>
              <w:t>法律法规、规章、规程规范及相关文件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1.代建单位或社会资本出资方</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1.1建设程序</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将建设工程发包给不具有相应资质等级的勘察、设计、施工、检测等单位或者委托给不具有相应资质等级的工程监理单位的，或者将拆除工程发包给不具有相应资质等级的施工单位的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拆除工程发包不符合规定的扣40分，其余情形扣</w:t>
            </w:r>
            <w:r>
              <w:rPr>
                <w:rFonts w:ascii="宋体" w:hAnsi="宋体"/>
                <w:sz w:val="16"/>
                <w:szCs w:val="16"/>
              </w:rPr>
              <w:t>20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《建设工程质量管理条例》第五十四条</w:t>
            </w:r>
          </w:p>
          <w:p>
            <w:pPr>
              <w:spacing w:line="250" w:lineRule="exact"/>
              <w:rPr>
                <w:rFonts w:ascii="宋体" w:hAnsi="宋体"/>
                <w:sz w:val="16"/>
                <w:szCs w:val="16"/>
              </w:rPr>
            </w:pPr>
            <w:r>
              <w:rPr>
                <w:rFonts w:hint="eastAsia" w:ascii="宋体" w:hAnsi="宋体"/>
                <w:sz w:val="16"/>
                <w:szCs w:val="16"/>
              </w:rPr>
              <w:t>《建设工程安全生产管理条例》第五十五条等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建设项目必须实行工程监理而未实行工程监理的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《建设工程质量管理条例》第五十六条等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工程不具备开工条件而违规开工或开工后不按规定进行备案的或未按规定办理施工许可即进行施工的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《政府投资条例》第二十条</w:t>
            </w:r>
          </w:p>
          <w:p>
            <w:pPr>
              <w:spacing w:line="250" w:lineRule="exact"/>
              <w:rPr>
                <w:rFonts w:ascii="宋体" w:hAnsi="宋体"/>
                <w:sz w:val="16"/>
                <w:szCs w:val="16"/>
              </w:rPr>
            </w:pPr>
            <w:r>
              <w:rPr>
                <w:rFonts w:hint="eastAsia" w:ascii="宋体" w:hAnsi="宋体"/>
                <w:sz w:val="16"/>
                <w:szCs w:val="16"/>
              </w:rPr>
              <w:t>《建设工程质量管理条例》第五十七条</w:t>
            </w:r>
            <w:r>
              <w:rPr>
                <w:rFonts w:hint="eastAsia" w:ascii="宋体" w:hAnsi="宋体"/>
                <w:sz w:val="16"/>
                <w:szCs w:val="16"/>
              </w:rPr>
              <w:br w:type="textWrapping"/>
            </w:r>
            <w:r>
              <w:rPr>
                <w:rFonts w:hint="eastAsia" w:ascii="宋体" w:hAnsi="宋体"/>
                <w:sz w:val="16"/>
                <w:szCs w:val="16"/>
              </w:rPr>
              <w:t>《水利部关于水利工程开工审批取消后加强后续监管工作的通知》第五条等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未按规定对参建单位提出的项目负责人变更申请材料进行严格审查把关导致项目负责人变更不符合有关规定的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《深圳市人民政府印发关于建设工程招标投标改革若干规定的通知》（深府〔2015〕73号）第五十四条等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未按规定组织工程验收或虽组织验收但验收不合格，即擅自将工程交付或投入使用的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《建设工程质量管理条例》第五十八条</w:t>
            </w:r>
            <w:r>
              <w:rPr>
                <w:rFonts w:hint="eastAsia" w:ascii="宋体" w:hAnsi="宋体"/>
                <w:sz w:val="16"/>
                <w:szCs w:val="16"/>
              </w:rPr>
              <w:br w:type="textWrapping"/>
            </w:r>
            <w:r>
              <w:rPr>
                <w:rFonts w:hint="eastAsia" w:ascii="宋体" w:hAnsi="宋体"/>
                <w:sz w:val="16"/>
                <w:szCs w:val="16"/>
              </w:rPr>
              <w:t>《水利工程建设项目验收管理规定》第四条等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未按照规定将验收成果件报有关部门备案的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《建设工程质量管理条例》第五十六条等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未落实或者未督促参建单位落实劳务工工资支付管理有关制度的或虽有督促但督促不力导致欠薪事件发生的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《国务院办公厅关于促进建筑业持续健康发展的意见》（国办发〔2017〕19号）第（十三）项</w:t>
            </w:r>
          </w:p>
          <w:p>
            <w:pPr>
              <w:spacing w:line="250" w:lineRule="exact"/>
              <w:ind w:left="-42" w:leftChars="-20"/>
              <w:rPr>
                <w:rFonts w:ascii="宋体" w:hAnsi="宋体"/>
                <w:sz w:val="16"/>
                <w:szCs w:val="16"/>
              </w:rPr>
            </w:pPr>
            <w:r>
              <w:rPr>
                <w:rFonts w:hint="eastAsia" w:ascii="宋体" w:hAnsi="宋体"/>
                <w:sz w:val="16"/>
                <w:szCs w:val="16"/>
              </w:rPr>
              <w:t>《广东省保障农民工工资支付工作责任追究暂行办法》（粤薪联发〔2019〕1号）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建设单位未按规定向有关行政主管部门或者运行管理等有关单位移交建设项目档案的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《建设工程质量管理条例》第十七条</w:t>
            </w:r>
          </w:p>
          <w:p>
            <w:pPr>
              <w:spacing w:line="250" w:lineRule="exact"/>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1.2招投标</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必须进行招标的项目而不招标，或者将必须进行招标的项目化整为零规避招标，或者依法必须进行招标的项目的招标人不按照规定发布资格预审公告或者招标公告，构成规避招标，或者以其他任何方式规避招标的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3</w:t>
            </w:r>
            <w:r>
              <w:rPr>
                <w:rFonts w:ascii="宋体" w:hAnsi="宋体"/>
                <w:sz w:val="16"/>
                <w:szCs w:val="16"/>
              </w:rPr>
              <w:t>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《招标投标法》第四十九条</w:t>
            </w:r>
            <w:r>
              <w:rPr>
                <w:rFonts w:hint="eastAsia" w:ascii="宋体" w:hAnsi="宋体"/>
                <w:sz w:val="16"/>
                <w:szCs w:val="16"/>
              </w:rPr>
              <w:br w:type="textWrapping"/>
            </w:r>
            <w:r>
              <w:rPr>
                <w:rFonts w:hint="eastAsia" w:ascii="宋体" w:hAnsi="宋体"/>
                <w:sz w:val="16"/>
                <w:szCs w:val="16"/>
              </w:rPr>
              <w:t>《招标投标法实施条例》第六十三条</w:t>
            </w:r>
            <w:r>
              <w:rPr>
                <w:rFonts w:hint="eastAsia" w:ascii="宋体" w:hAnsi="宋体"/>
                <w:sz w:val="16"/>
                <w:szCs w:val="16"/>
              </w:rPr>
              <w:br w:type="textWrapping"/>
            </w:r>
            <w:r>
              <w:rPr>
                <w:rFonts w:hint="eastAsia" w:ascii="宋体" w:hAnsi="宋体"/>
                <w:sz w:val="16"/>
                <w:szCs w:val="16"/>
              </w:rPr>
              <w:t>《工程建设项目施工招标投标办法》第六十八条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1.代建单位或社会资本出资方</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1.2招投标</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以不合理的条件限制或者排斥潜在投标人的（包括但不限于以下方面：</w:t>
            </w:r>
          </w:p>
          <w:p>
            <w:pPr>
              <w:spacing w:line="250" w:lineRule="exact"/>
              <w:rPr>
                <w:rFonts w:ascii="宋体" w:hAnsi="宋体"/>
                <w:sz w:val="16"/>
                <w:szCs w:val="16"/>
              </w:rPr>
            </w:pPr>
            <w:r>
              <w:rPr>
                <w:rFonts w:hint="eastAsia" w:ascii="宋体" w:hAnsi="宋体"/>
                <w:sz w:val="16"/>
                <w:szCs w:val="16"/>
              </w:rPr>
              <w:t>1.就同一招标项目向潜在投标人或者投标人提供有差别的项目信息的；</w:t>
            </w:r>
          </w:p>
          <w:p>
            <w:pPr>
              <w:spacing w:line="250" w:lineRule="exact"/>
              <w:rPr>
                <w:rFonts w:ascii="宋体" w:hAnsi="宋体"/>
                <w:sz w:val="16"/>
                <w:szCs w:val="16"/>
              </w:rPr>
            </w:pPr>
            <w:r>
              <w:rPr>
                <w:rFonts w:hint="eastAsia" w:ascii="宋体" w:hAnsi="宋体"/>
                <w:sz w:val="16"/>
                <w:szCs w:val="16"/>
              </w:rPr>
              <w:t>2.设定的资格、技术、商务条件与招标项目的具体特点和实际需要不相适应或者与合同履行无关的；</w:t>
            </w:r>
          </w:p>
          <w:p>
            <w:pPr>
              <w:spacing w:line="250" w:lineRule="exact"/>
              <w:rPr>
                <w:rFonts w:ascii="宋体" w:hAnsi="宋体"/>
                <w:sz w:val="16"/>
                <w:szCs w:val="16"/>
              </w:rPr>
            </w:pPr>
            <w:r>
              <w:rPr>
                <w:rFonts w:hint="eastAsia" w:ascii="宋体" w:hAnsi="宋体"/>
                <w:sz w:val="16"/>
                <w:szCs w:val="16"/>
              </w:rPr>
              <w:t>3.依法必须进行招标的项目以特定行政区域或者特定行业的业绩、奖项作为加分条件或者中标条件的；</w:t>
            </w:r>
          </w:p>
          <w:p>
            <w:pPr>
              <w:spacing w:line="250" w:lineRule="exact"/>
              <w:rPr>
                <w:rFonts w:ascii="宋体" w:hAnsi="宋体"/>
                <w:sz w:val="16"/>
                <w:szCs w:val="16"/>
              </w:rPr>
            </w:pPr>
            <w:r>
              <w:rPr>
                <w:rFonts w:hint="eastAsia" w:ascii="宋体" w:hAnsi="宋体"/>
                <w:sz w:val="16"/>
                <w:szCs w:val="16"/>
              </w:rPr>
              <w:t>4.对潜在投标人或者投标人采取不同的资格审查或者评标标准的；</w:t>
            </w:r>
          </w:p>
          <w:p>
            <w:pPr>
              <w:spacing w:line="250" w:lineRule="exact"/>
              <w:rPr>
                <w:rFonts w:ascii="宋体" w:hAnsi="宋体"/>
                <w:sz w:val="16"/>
                <w:szCs w:val="16"/>
              </w:rPr>
            </w:pPr>
            <w:r>
              <w:rPr>
                <w:rFonts w:hint="eastAsia" w:ascii="宋体" w:hAnsi="宋体"/>
                <w:sz w:val="16"/>
                <w:szCs w:val="16"/>
              </w:rPr>
              <w:t>5.限定或者指定特定的专利、商标、品牌、原产地或者供应商的；</w:t>
            </w:r>
          </w:p>
          <w:p>
            <w:pPr>
              <w:spacing w:line="250" w:lineRule="exact"/>
              <w:rPr>
                <w:rFonts w:ascii="宋体" w:hAnsi="宋体"/>
                <w:sz w:val="16"/>
                <w:szCs w:val="16"/>
              </w:rPr>
            </w:pPr>
            <w:r>
              <w:rPr>
                <w:rFonts w:hint="eastAsia" w:ascii="宋体" w:hAnsi="宋体"/>
                <w:sz w:val="16"/>
                <w:szCs w:val="16"/>
              </w:rPr>
              <w:t>6.依法必须进行招标的项目非法限定潜在投标人或者投标人的所有制形式或者组织形式的；</w:t>
            </w:r>
          </w:p>
          <w:p>
            <w:pPr>
              <w:spacing w:line="250" w:lineRule="exact"/>
              <w:rPr>
                <w:rFonts w:ascii="宋体" w:hAnsi="宋体"/>
                <w:sz w:val="16"/>
                <w:szCs w:val="16"/>
              </w:rPr>
            </w:pPr>
            <w:r>
              <w:rPr>
                <w:rFonts w:hint="eastAsia" w:ascii="宋体" w:hAnsi="宋体"/>
                <w:sz w:val="16"/>
                <w:szCs w:val="16"/>
              </w:rPr>
              <w:t>7.以其他不合理条件限制、排斥潜在投标人或者投标人的），或者对潜在投标人实行歧视待遇的，或者强制要求投标人组成联合体共同投标的，或者限制投标人之间竞争的</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《招标投标法》第五十一条</w:t>
            </w:r>
            <w:r>
              <w:rPr>
                <w:rFonts w:hint="eastAsia" w:ascii="宋体" w:hAnsi="宋体"/>
                <w:sz w:val="16"/>
                <w:szCs w:val="16"/>
              </w:rPr>
              <w:br w:type="textWrapping"/>
            </w:r>
            <w:r>
              <w:rPr>
                <w:rFonts w:hint="eastAsia" w:ascii="宋体" w:hAnsi="宋体"/>
                <w:sz w:val="16"/>
                <w:szCs w:val="16"/>
              </w:rPr>
              <w:t>《招标投标法实施条例》第三十二条</w:t>
            </w:r>
            <w:r>
              <w:rPr>
                <w:rFonts w:hint="eastAsia" w:ascii="宋体" w:hAnsi="宋体"/>
                <w:sz w:val="16"/>
                <w:szCs w:val="16"/>
              </w:rPr>
              <w:br w:type="textWrapping"/>
            </w:r>
            <w:r>
              <w:rPr>
                <w:rFonts w:hint="eastAsia" w:ascii="宋体" w:hAnsi="宋体"/>
                <w:sz w:val="16"/>
                <w:szCs w:val="16"/>
              </w:rPr>
              <w:t>《工程建设项目施工招标投标办法》第七十条</w:t>
            </w:r>
            <w:r>
              <w:rPr>
                <w:rFonts w:hint="eastAsia" w:ascii="宋体" w:hAnsi="宋体"/>
                <w:sz w:val="16"/>
                <w:szCs w:val="16"/>
              </w:rPr>
              <w:br w:type="textWrapping"/>
            </w:r>
            <w:r>
              <w:rPr>
                <w:rFonts w:hint="eastAsia" w:ascii="宋体" w:hAnsi="宋体"/>
                <w:sz w:val="16"/>
                <w:szCs w:val="16"/>
              </w:rPr>
              <w:t>《工程建设项目勘察设计招标投标办法》第五十三条</w:t>
            </w:r>
            <w:r>
              <w:rPr>
                <w:rFonts w:hint="eastAsia" w:ascii="宋体" w:hAnsi="宋体"/>
                <w:sz w:val="16"/>
                <w:szCs w:val="16"/>
              </w:rPr>
              <w:br w:type="textWrapping"/>
            </w:r>
            <w:r>
              <w:rPr>
                <w:rFonts w:hint="eastAsia" w:ascii="宋体" w:hAnsi="宋体"/>
                <w:sz w:val="16"/>
                <w:szCs w:val="16"/>
              </w:rPr>
              <w:t>《招标公告和公示信息发布管理办法》第十八条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依法必须进行招标的项目的招标人向他人透露已获取招标文件的潜在投标人的名称、数量或者可能影响公平竞争的有关招标投标的其他情况，或者泄露标底的</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《招标投标法》第五十二条</w:t>
            </w:r>
            <w:r>
              <w:rPr>
                <w:rFonts w:hint="eastAsia" w:ascii="宋体" w:hAnsi="宋体"/>
                <w:sz w:val="16"/>
                <w:szCs w:val="16"/>
              </w:rPr>
              <w:br w:type="textWrapping"/>
            </w:r>
            <w:r>
              <w:rPr>
                <w:rFonts w:hint="eastAsia" w:ascii="宋体" w:hAnsi="宋体"/>
                <w:sz w:val="16"/>
                <w:szCs w:val="16"/>
              </w:rPr>
              <w:t>《工程建设项目施工招标投标办法》第七十一条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招标人与投标人串通投标的（包括但不限于以下方面：</w:t>
            </w:r>
            <w:r>
              <w:rPr>
                <w:rFonts w:hint="eastAsia" w:ascii="宋体" w:hAnsi="宋体"/>
                <w:sz w:val="16"/>
                <w:szCs w:val="16"/>
              </w:rPr>
              <w:br w:type="textWrapping"/>
            </w:r>
            <w:r>
              <w:rPr>
                <w:rFonts w:hint="eastAsia" w:ascii="宋体" w:hAnsi="宋体"/>
                <w:sz w:val="16"/>
                <w:szCs w:val="16"/>
              </w:rPr>
              <w:t>1.招标人在开标前开启投标文件并将有关信息泄露给其他投标人的；</w:t>
            </w:r>
            <w:r>
              <w:rPr>
                <w:rFonts w:hint="eastAsia" w:ascii="宋体" w:hAnsi="宋体"/>
                <w:sz w:val="16"/>
                <w:szCs w:val="16"/>
              </w:rPr>
              <w:br w:type="textWrapping"/>
            </w:r>
            <w:r>
              <w:rPr>
                <w:rFonts w:hint="eastAsia" w:ascii="宋体" w:hAnsi="宋体"/>
                <w:sz w:val="16"/>
                <w:szCs w:val="16"/>
              </w:rPr>
              <w:t>2.招标人直接或者间接向投标人泄露标底、评标委员会成员等信息的；</w:t>
            </w:r>
            <w:r>
              <w:rPr>
                <w:rFonts w:hint="eastAsia" w:ascii="宋体" w:hAnsi="宋体"/>
                <w:sz w:val="16"/>
                <w:szCs w:val="16"/>
              </w:rPr>
              <w:br w:type="textWrapping"/>
            </w:r>
            <w:r>
              <w:rPr>
                <w:rFonts w:hint="eastAsia" w:ascii="宋体" w:hAnsi="宋体"/>
                <w:sz w:val="16"/>
                <w:szCs w:val="16"/>
              </w:rPr>
              <w:t>3.招标人明示或者暗示投标人压低或者抬高投标报价的；</w:t>
            </w:r>
            <w:r>
              <w:rPr>
                <w:rFonts w:hint="eastAsia" w:ascii="宋体" w:hAnsi="宋体"/>
                <w:sz w:val="16"/>
                <w:szCs w:val="16"/>
              </w:rPr>
              <w:br w:type="textWrapping"/>
            </w:r>
            <w:r>
              <w:rPr>
                <w:rFonts w:hint="eastAsia" w:ascii="宋体" w:hAnsi="宋体"/>
                <w:sz w:val="16"/>
                <w:szCs w:val="16"/>
              </w:rPr>
              <w:t>4.招标人授意投标人撤换、修改投标文件的；</w:t>
            </w:r>
            <w:r>
              <w:rPr>
                <w:rFonts w:hint="eastAsia" w:ascii="宋体" w:hAnsi="宋体"/>
                <w:sz w:val="16"/>
                <w:szCs w:val="16"/>
              </w:rPr>
              <w:br w:type="textWrapping"/>
            </w:r>
            <w:r>
              <w:rPr>
                <w:rFonts w:hint="eastAsia" w:ascii="宋体" w:hAnsi="宋体"/>
                <w:sz w:val="16"/>
                <w:szCs w:val="16"/>
              </w:rPr>
              <w:t>5.招标人明示或者暗示投标人为特定投标人中标提供方便的；</w:t>
            </w:r>
            <w:r>
              <w:rPr>
                <w:rFonts w:hint="eastAsia" w:ascii="宋体" w:hAnsi="宋体"/>
                <w:sz w:val="16"/>
                <w:szCs w:val="16"/>
              </w:rPr>
              <w:br w:type="textWrapping"/>
            </w:r>
            <w:r>
              <w:rPr>
                <w:rFonts w:hint="eastAsia" w:ascii="宋体" w:hAnsi="宋体"/>
                <w:sz w:val="16"/>
                <w:szCs w:val="16"/>
              </w:rPr>
              <w:t>6.招标人与投标人为谋求特定投标人中标而采取的其他串通行为的；</w:t>
            </w:r>
            <w:r>
              <w:rPr>
                <w:rFonts w:hint="eastAsia" w:ascii="宋体" w:hAnsi="宋体"/>
                <w:sz w:val="16"/>
                <w:szCs w:val="16"/>
              </w:rPr>
              <w:br w:type="textWrapping"/>
            </w:r>
            <w:r>
              <w:rPr>
                <w:rFonts w:hint="eastAsia" w:ascii="宋体" w:hAnsi="宋体"/>
                <w:sz w:val="16"/>
                <w:szCs w:val="16"/>
              </w:rPr>
              <w:t>7.招标人协助资格预审申请人或者投标人对其资格预审申请文件或者投标文件进行撤换、修改的；</w:t>
            </w:r>
            <w:r>
              <w:rPr>
                <w:rFonts w:hint="eastAsia" w:ascii="宋体" w:hAnsi="宋体"/>
                <w:sz w:val="16"/>
                <w:szCs w:val="16"/>
              </w:rPr>
              <w:br w:type="textWrapping"/>
            </w:r>
            <w:r>
              <w:rPr>
                <w:rFonts w:hint="eastAsia" w:ascii="宋体" w:hAnsi="宋体"/>
                <w:sz w:val="16"/>
                <w:szCs w:val="16"/>
              </w:rPr>
              <w:t>8.招标人直接或者间接向投标人或者投标人的利害关系人泄露获取资格预审文件或者通过资格预审的申请人的名称、数量或者资格审查情况，泄露获取招标文件的潜在投标人的名称、数量或者评标等情况的；</w:t>
            </w:r>
            <w:r>
              <w:rPr>
                <w:rFonts w:hint="eastAsia" w:ascii="宋体" w:hAnsi="宋体"/>
                <w:sz w:val="16"/>
                <w:szCs w:val="16"/>
              </w:rPr>
              <w:br w:type="textWrapping"/>
            </w:r>
            <w:r>
              <w:rPr>
                <w:rFonts w:hint="eastAsia" w:ascii="宋体" w:hAnsi="宋体"/>
                <w:sz w:val="16"/>
                <w:szCs w:val="16"/>
              </w:rPr>
              <w:t>9.招标人以胁迫、劝退、利诱等方式，使特定投标人以外的其他投标人放弃投标或者中标人放弃中标的。）</w:t>
            </w:r>
          </w:p>
        </w:tc>
        <w:tc>
          <w:tcPr>
            <w:tcW w:w="1843" w:type="dxa"/>
            <w:vAlign w:val="center"/>
          </w:tcPr>
          <w:p>
            <w:pPr>
              <w:spacing w:line="250" w:lineRule="exact"/>
              <w:jc w:val="center"/>
              <w:rPr>
                <w:rFonts w:ascii="宋体" w:hAnsi="宋体"/>
                <w:sz w:val="16"/>
                <w:szCs w:val="16"/>
              </w:rPr>
            </w:pPr>
            <w:r>
              <w:rPr>
                <w:rFonts w:ascii="宋体" w:hAnsi="宋体"/>
                <w:sz w:val="16"/>
                <w:szCs w:val="16"/>
              </w:rPr>
              <w:t>40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《招标投标法》第五十三条</w:t>
            </w:r>
            <w:r>
              <w:rPr>
                <w:rFonts w:hint="eastAsia" w:ascii="宋体" w:hAnsi="宋体"/>
                <w:sz w:val="16"/>
                <w:szCs w:val="16"/>
              </w:rPr>
              <w:br w:type="textWrapping"/>
            </w:r>
            <w:r>
              <w:rPr>
                <w:rFonts w:hint="eastAsia" w:ascii="宋体" w:hAnsi="宋体"/>
                <w:sz w:val="16"/>
                <w:szCs w:val="16"/>
              </w:rPr>
              <w:t>《招标投标法实施条例》第四十一条、第六十七条</w:t>
            </w:r>
            <w:r>
              <w:rPr>
                <w:rFonts w:hint="eastAsia" w:ascii="宋体" w:hAnsi="宋体"/>
                <w:sz w:val="16"/>
                <w:szCs w:val="16"/>
              </w:rPr>
              <w:br w:type="textWrapping"/>
            </w:r>
            <w:r>
              <w:rPr>
                <w:rFonts w:hint="eastAsia" w:ascii="宋体" w:hAnsi="宋体"/>
                <w:sz w:val="16"/>
                <w:szCs w:val="16"/>
              </w:rPr>
              <w:t>《广东省实施&lt;中华人民共和国招标投标法&gt;办法》第十七条、第三十三条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在评标委员会依法推荐的中标候选人以外确定中标人的，依法必须进行招标的项目在所有投标被评标委员会否决后自行确定中标人的</w:t>
            </w:r>
          </w:p>
        </w:tc>
        <w:tc>
          <w:tcPr>
            <w:tcW w:w="1843" w:type="dxa"/>
            <w:vAlign w:val="center"/>
          </w:tcPr>
          <w:p>
            <w:pPr>
              <w:spacing w:line="250" w:lineRule="exact"/>
              <w:jc w:val="center"/>
              <w:rPr>
                <w:rFonts w:ascii="宋体" w:hAnsi="宋体"/>
                <w:sz w:val="16"/>
                <w:szCs w:val="16"/>
              </w:rPr>
            </w:pPr>
            <w:r>
              <w:rPr>
                <w:rFonts w:ascii="宋体" w:hAnsi="宋体"/>
                <w:sz w:val="16"/>
                <w:szCs w:val="16"/>
              </w:rPr>
              <w:t>40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1.代建单位或社会资本出资方</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1.2招投标</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迫使承包方以低于成本的价格竞标的</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非不可抗力原因，在发布招标公告、发出投标邀请书或者发售资格预审文件或招标文件后终止招标的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《工程建设项目施工招标投标办法》第七十二条</w:t>
            </w:r>
            <w:r>
              <w:rPr>
                <w:rFonts w:hint="eastAsia" w:ascii="宋体" w:hAnsi="宋体"/>
                <w:sz w:val="16"/>
                <w:szCs w:val="16"/>
              </w:rPr>
              <w:br w:type="textWrapping"/>
            </w:r>
            <w:r>
              <w:rPr>
                <w:rFonts w:hint="eastAsia" w:ascii="宋体" w:hAnsi="宋体"/>
                <w:sz w:val="16"/>
                <w:szCs w:val="16"/>
              </w:rPr>
              <w:t>《工程建设项目勘察设计招标投标办法》第二十条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依法应当公开招标的项目不按照规定在指定媒介发布资格预审公告或者招标公告的</w:t>
            </w:r>
          </w:p>
        </w:tc>
        <w:tc>
          <w:tcPr>
            <w:tcW w:w="1843" w:type="dxa"/>
            <w:vAlign w:val="center"/>
          </w:tcPr>
          <w:p>
            <w:pPr>
              <w:spacing w:line="250" w:lineRule="exact"/>
              <w:jc w:val="center"/>
              <w:rPr>
                <w:rFonts w:ascii="宋体" w:hAnsi="宋体"/>
                <w:sz w:val="16"/>
                <w:szCs w:val="16"/>
              </w:rPr>
            </w:pPr>
            <w:r>
              <w:rPr>
                <w:rFonts w:ascii="宋体" w:hAnsi="宋体"/>
                <w:sz w:val="16"/>
                <w:szCs w:val="16"/>
              </w:rPr>
              <w:t>5</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《招标投标法》第四十九条、第五十一条</w:t>
            </w:r>
            <w:r>
              <w:rPr>
                <w:rFonts w:hint="eastAsia" w:ascii="宋体" w:hAnsi="宋体"/>
                <w:sz w:val="16"/>
                <w:szCs w:val="16"/>
              </w:rPr>
              <w:br w:type="textWrapping"/>
            </w:r>
            <w:r>
              <w:rPr>
                <w:rFonts w:hint="eastAsia" w:ascii="宋体" w:hAnsi="宋体"/>
                <w:sz w:val="16"/>
                <w:szCs w:val="16"/>
              </w:rPr>
              <w:t>《招标投标法实施条例》第六十三条</w:t>
            </w:r>
            <w:r>
              <w:rPr>
                <w:rFonts w:hint="eastAsia" w:ascii="宋体" w:hAnsi="宋体"/>
                <w:sz w:val="16"/>
                <w:szCs w:val="16"/>
              </w:rPr>
              <w:br w:type="textWrapping"/>
            </w:r>
            <w:r>
              <w:rPr>
                <w:rFonts w:hint="eastAsia" w:ascii="宋体" w:hAnsi="宋体"/>
                <w:sz w:val="16"/>
                <w:szCs w:val="16"/>
              </w:rPr>
              <w:t>《工程建设项目施工招标投标办法》第七十三条</w:t>
            </w:r>
            <w:r>
              <w:rPr>
                <w:rFonts w:hint="eastAsia" w:ascii="宋体" w:hAnsi="宋体"/>
                <w:sz w:val="16"/>
                <w:szCs w:val="16"/>
              </w:rPr>
              <w:br w:type="textWrapping"/>
            </w:r>
            <w:r>
              <w:rPr>
                <w:rFonts w:hint="eastAsia" w:ascii="宋体" w:hAnsi="宋体"/>
                <w:sz w:val="16"/>
                <w:szCs w:val="16"/>
              </w:rPr>
              <w:t>《工程建设项目勘察设计招标投标办法》第五十条</w:t>
            </w:r>
            <w:r>
              <w:rPr>
                <w:rFonts w:hint="eastAsia" w:ascii="宋体" w:hAnsi="宋体"/>
                <w:sz w:val="16"/>
                <w:szCs w:val="16"/>
              </w:rPr>
              <w:br w:type="textWrapping"/>
            </w:r>
            <w:r>
              <w:rPr>
                <w:rFonts w:hint="eastAsia" w:ascii="宋体" w:hAnsi="宋体"/>
                <w:sz w:val="16"/>
                <w:szCs w:val="16"/>
              </w:rPr>
              <w:t>《工程建设项目货物招标投标办法》第五十五条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在不同媒介发布的同一招标项目的资格预审公告或者招标公告的内容不一致，影响潜在投标人申请资格预审或者投标的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r>
              <w:rPr>
                <w:rFonts w:ascii="宋体" w:hAnsi="宋体"/>
                <w:sz w:val="16"/>
                <w:szCs w:val="16"/>
              </w:rPr>
              <w:t>　</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《招标投标法》第四十九条、第五十一条</w:t>
            </w:r>
            <w:r>
              <w:rPr>
                <w:rFonts w:hint="eastAsia" w:ascii="宋体" w:hAnsi="宋体"/>
                <w:sz w:val="16"/>
                <w:szCs w:val="16"/>
              </w:rPr>
              <w:br w:type="textWrapping"/>
            </w:r>
            <w:r>
              <w:rPr>
                <w:rFonts w:hint="eastAsia" w:ascii="宋体" w:hAnsi="宋体"/>
                <w:sz w:val="16"/>
                <w:szCs w:val="16"/>
              </w:rPr>
              <w:t>《招标投标法实施条例》第六十三条</w:t>
            </w:r>
            <w:r>
              <w:rPr>
                <w:rFonts w:hint="eastAsia" w:ascii="宋体" w:hAnsi="宋体"/>
                <w:sz w:val="16"/>
                <w:szCs w:val="16"/>
              </w:rPr>
              <w:br w:type="textWrapping"/>
            </w:r>
            <w:r>
              <w:rPr>
                <w:rFonts w:hint="eastAsia" w:ascii="宋体" w:hAnsi="宋体"/>
                <w:sz w:val="16"/>
                <w:szCs w:val="16"/>
              </w:rPr>
              <w:t>《工程建设项目施工招标投标办法》第七十三条</w:t>
            </w:r>
            <w:r>
              <w:rPr>
                <w:rFonts w:hint="eastAsia" w:ascii="宋体" w:hAnsi="宋体"/>
                <w:sz w:val="16"/>
                <w:szCs w:val="16"/>
              </w:rPr>
              <w:br w:type="textWrapping"/>
            </w:r>
            <w:r>
              <w:rPr>
                <w:rFonts w:hint="eastAsia" w:ascii="宋体" w:hAnsi="宋体"/>
                <w:sz w:val="16"/>
                <w:szCs w:val="16"/>
              </w:rPr>
              <w:t>《工程建设项目勘察设计招标投标办法》第五十条</w:t>
            </w:r>
            <w:r>
              <w:rPr>
                <w:rFonts w:hint="eastAsia" w:ascii="宋体" w:hAnsi="宋体"/>
                <w:sz w:val="16"/>
                <w:szCs w:val="16"/>
              </w:rPr>
              <w:br w:type="textWrapping"/>
            </w:r>
            <w:r>
              <w:rPr>
                <w:rFonts w:hint="eastAsia" w:ascii="宋体" w:hAnsi="宋体"/>
                <w:sz w:val="16"/>
                <w:szCs w:val="16"/>
              </w:rPr>
              <w:t>《工程建设项目货物招标投标办法》第五十五条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依法应当公开招标而不公开招标的</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《招标投标法实施条例》第六十四条</w:t>
            </w:r>
            <w:r>
              <w:rPr>
                <w:rFonts w:hint="eastAsia" w:ascii="宋体" w:hAnsi="宋体"/>
                <w:sz w:val="16"/>
                <w:szCs w:val="16"/>
              </w:rPr>
              <w:br w:type="textWrapping"/>
            </w:r>
            <w:r>
              <w:rPr>
                <w:rFonts w:hint="eastAsia" w:ascii="宋体" w:hAnsi="宋体"/>
                <w:sz w:val="16"/>
                <w:szCs w:val="16"/>
              </w:rPr>
              <w:t>《工程建设项目施工招标投标办法》第七十三条</w:t>
            </w:r>
            <w:r>
              <w:rPr>
                <w:rFonts w:hint="eastAsia" w:ascii="宋体" w:hAnsi="宋体"/>
                <w:sz w:val="16"/>
                <w:szCs w:val="16"/>
              </w:rPr>
              <w:br w:type="textWrapping"/>
            </w:r>
            <w:r>
              <w:rPr>
                <w:rFonts w:hint="eastAsia" w:ascii="宋体" w:hAnsi="宋体"/>
                <w:sz w:val="16"/>
                <w:szCs w:val="16"/>
              </w:rPr>
              <w:t>《工程建设项目勘察设计招标投标办法》第五十一条</w:t>
            </w:r>
            <w:r>
              <w:rPr>
                <w:rFonts w:hint="eastAsia" w:ascii="宋体" w:hAnsi="宋体"/>
                <w:sz w:val="16"/>
                <w:szCs w:val="16"/>
              </w:rPr>
              <w:br w:type="textWrapping"/>
            </w:r>
            <w:r>
              <w:rPr>
                <w:rFonts w:hint="eastAsia" w:ascii="宋体" w:hAnsi="宋体"/>
                <w:sz w:val="16"/>
                <w:szCs w:val="16"/>
              </w:rPr>
              <w:t>《工程建设项目货物招标投标办法》第五十六条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招标文件、资格预审文件的发售、澄清、修改的时限，或者确定的提交资格预审申请文件、投标文件的时限不符合招标投标法和招标投标法实施条例规定的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《招标投标法》第二十三条、第二十四条</w:t>
            </w:r>
            <w:r>
              <w:rPr>
                <w:rFonts w:hint="eastAsia" w:ascii="宋体" w:hAnsi="宋体"/>
                <w:sz w:val="16"/>
                <w:szCs w:val="16"/>
              </w:rPr>
              <w:br w:type="textWrapping"/>
            </w:r>
            <w:r>
              <w:rPr>
                <w:rFonts w:hint="eastAsia" w:ascii="宋体" w:hAnsi="宋体"/>
                <w:sz w:val="16"/>
                <w:szCs w:val="16"/>
              </w:rPr>
              <w:t>《招标投标法实施条例》第十六条、第十七条、第二十一条、第六十四条</w:t>
            </w:r>
            <w:r>
              <w:rPr>
                <w:rFonts w:hint="eastAsia" w:ascii="宋体" w:hAnsi="宋体"/>
                <w:sz w:val="16"/>
                <w:szCs w:val="16"/>
              </w:rPr>
              <w:br w:type="textWrapping"/>
            </w:r>
            <w:r>
              <w:rPr>
                <w:rFonts w:hint="eastAsia" w:ascii="宋体" w:hAnsi="宋体"/>
                <w:sz w:val="16"/>
                <w:szCs w:val="16"/>
              </w:rPr>
              <w:t>《工程建设项目施工招标投标办法》第七十三条</w:t>
            </w:r>
            <w:r>
              <w:rPr>
                <w:rFonts w:hint="eastAsia" w:ascii="宋体" w:hAnsi="宋体"/>
                <w:sz w:val="16"/>
                <w:szCs w:val="16"/>
              </w:rPr>
              <w:br w:type="textWrapping"/>
            </w:r>
            <w:r>
              <w:rPr>
                <w:rFonts w:hint="eastAsia" w:ascii="宋体" w:hAnsi="宋体"/>
                <w:sz w:val="16"/>
                <w:szCs w:val="16"/>
              </w:rPr>
              <w:t>《工程建设项目勘察设计招标投标办法》第五十一条</w:t>
            </w:r>
            <w:r>
              <w:rPr>
                <w:rFonts w:hint="eastAsia" w:ascii="宋体" w:hAnsi="宋体"/>
                <w:sz w:val="16"/>
                <w:szCs w:val="16"/>
              </w:rPr>
              <w:br w:type="textWrapping"/>
            </w:r>
            <w:r>
              <w:rPr>
                <w:rFonts w:hint="eastAsia" w:ascii="宋体" w:hAnsi="宋体"/>
                <w:sz w:val="16"/>
                <w:szCs w:val="16"/>
              </w:rPr>
              <w:t>《工程建设项目货物招标投标办法》第五十六条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未按规定查询市场主体信用信息（含不良行为信息）并向评标定标专家提供的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《深圳市水务建设市场主体不良行为认定及应用管理办法》第二十一条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接受应当拒收的投标文件的，或者将应当拒绝（或禁止）参与招投标活动的市场主体定为中标人的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r>
              <w:rPr>
                <w:rFonts w:ascii="宋体" w:hAnsi="宋体"/>
                <w:sz w:val="16"/>
                <w:szCs w:val="16"/>
              </w:rPr>
              <w:t>　</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《招标投标法实施条例》第六十四条</w:t>
            </w:r>
            <w:r>
              <w:rPr>
                <w:rFonts w:hint="eastAsia" w:ascii="宋体" w:hAnsi="宋体"/>
                <w:sz w:val="16"/>
                <w:szCs w:val="16"/>
              </w:rPr>
              <w:br w:type="textWrapping"/>
            </w:r>
            <w:r>
              <w:rPr>
                <w:rFonts w:hint="eastAsia" w:ascii="宋体" w:hAnsi="宋体"/>
                <w:sz w:val="16"/>
                <w:szCs w:val="16"/>
              </w:rPr>
              <w:t>《工程建设项目施工招标投标办法》第七十三条</w:t>
            </w:r>
            <w:r>
              <w:rPr>
                <w:rFonts w:hint="eastAsia" w:ascii="宋体" w:hAnsi="宋体"/>
                <w:sz w:val="16"/>
                <w:szCs w:val="16"/>
              </w:rPr>
              <w:br w:type="textWrapping"/>
            </w:r>
            <w:r>
              <w:rPr>
                <w:rFonts w:hint="eastAsia" w:ascii="宋体" w:hAnsi="宋体"/>
                <w:sz w:val="16"/>
                <w:szCs w:val="16"/>
              </w:rPr>
              <w:t>《工程建设项目勘察设计招标投标办法》第五十一条</w:t>
            </w:r>
          </w:p>
          <w:p>
            <w:pPr>
              <w:spacing w:line="250" w:lineRule="exact"/>
              <w:rPr>
                <w:rFonts w:ascii="宋体" w:hAnsi="宋体"/>
                <w:sz w:val="16"/>
                <w:szCs w:val="16"/>
              </w:rPr>
            </w:pPr>
            <w:r>
              <w:rPr>
                <w:rFonts w:hint="eastAsia" w:ascii="宋体" w:hAnsi="宋体"/>
                <w:sz w:val="16"/>
                <w:szCs w:val="16"/>
              </w:rPr>
              <w:t>《深圳市水务建设市场主体不良行为认定及应用管理办法》等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1.代建单位或社会资本出资方</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1.2招投标</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依法必须进行招标的项目，招标人不按照规定组建评标委员会，或者确定、更换评标委员会成员违反招标投标法和招标投标法实施条例等规定的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r>
              <w:rPr>
                <w:rFonts w:ascii="宋体" w:hAnsi="宋体"/>
                <w:sz w:val="16"/>
                <w:szCs w:val="16"/>
              </w:rPr>
              <w:t>　</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《招标投标法实施条例》第七十条</w:t>
            </w:r>
            <w:r>
              <w:rPr>
                <w:rFonts w:hint="eastAsia" w:ascii="宋体" w:hAnsi="宋体"/>
                <w:sz w:val="16"/>
                <w:szCs w:val="16"/>
              </w:rPr>
              <w:br w:type="textWrapping"/>
            </w:r>
            <w:r>
              <w:rPr>
                <w:rFonts w:hint="eastAsia" w:ascii="宋体" w:hAnsi="宋体"/>
                <w:sz w:val="16"/>
                <w:szCs w:val="16"/>
              </w:rPr>
              <w:t>《工程建设项目施工招标投标办法》第七十九条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依法必须进行招标的项目，招标人无正当理由不发出中标通知书，或者不按照规定确定中标人（包括但不限于：招标人在评标委员会依法推荐的中标候选人以外确定中标人，或者依法必须进行招标的项目在所有投标被评标委员会否决后自行确定中标人），或者中标通知书发出后无正当理由改变中标结果，或者无正当理由不与中标人订立合同，或者在订立合同时向中标人提出附加条件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《招标投标法实施条例》第七十三条</w:t>
            </w:r>
            <w:r>
              <w:rPr>
                <w:rFonts w:hint="eastAsia" w:ascii="宋体" w:hAnsi="宋体"/>
                <w:sz w:val="16"/>
                <w:szCs w:val="16"/>
              </w:rPr>
              <w:br w:type="textWrapping"/>
            </w:r>
            <w:r>
              <w:rPr>
                <w:rFonts w:hint="eastAsia" w:ascii="宋体" w:hAnsi="宋体"/>
                <w:sz w:val="16"/>
                <w:szCs w:val="16"/>
              </w:rPr>
              <w:t>《工程建设项目施工招标投标办法》第八十条</w:t>
            </w:r>
            <w:r>
              <w:rPr>
                <w:rFonts w:hint="eastAsia" w:ascii="宋体" w:hAnsi="宋体"/>
                <w:sz w:val="16"/>
                <w:szCs w:val="16"/>
              </w:rPr>
              <w:br w:type="textWrapping"/>
            </w:r>
            <w:r>
              <w:rPr>
                <w:rFonts w:hint="eastAsia" w:ascii="宋体" w:hAnsi="宋体"/>
                <w:sz w:val="16"/>
                <w:szCs w:val="16"/>
              </w:rPr>
              <w:t>《工程建设项目货物招标投标办法》第五十八条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招标人和中标人不按照招标文件和中标人的投标文件订立合同，或者合同的主要条款与招标文件、中标人的投标文件的内容不一致，或者招标人、中标人订立背离合同实质性内容的协议的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不按照规定对异议作出答复，继续进行招标投标活动的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1.3质量安全</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超过有关规定的比例收取投标保证金、履约保证金或者不按照规定退还投标保证金及银行同期存款利息的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非不可抗力，不履行与中标人订立的合同的（给中标人造成较大损失或在社会上造成较大负面影响的）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《工程建设项目施工招标投标办法》第八十五条</w:t>
            </w:r>
            <w:r>
              <w:rPr>
                <w:rFonts w:hint="eastAsia" w:ascii="宋体" w:hAnsi="宋体"/>
                <w:sz w:val="16"/>
                <w:szCs w:val="16"/>
              </w:rPr>
              <w:br w:type="textWrapping"/>
            </w:r>
            <w:r>
              <w:rPr>
                <w:rFonts w:hint="eastAsia" w:ascii="宋体" w:hAnsi="宋体"/>
                <w:sz w:val="16"/>
                <w:szCs w:val="16"/>
              </w:rPr>
              <w:t>《工程建设项目货物招标投标办法》第五十九条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明示或者暗示设计单位或者施工单位违反工程建设强制性标准，降低工程质量的，或者明示或者暗示施工单位使用不合格的建筑材料、建筑构配件和设备的，或者对勘察、设计、施工、工程监理等单位提出不符合安全生产法律、法规和强制性标准规定的要求的（造成质量安全事故的情形除外）</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《建设工程质量管理条例》第五十六条</w:t>
            </w:r>
          </w:p>
          <w:p>
            <w:pPr>
              <w:spacing w:line="250" w:lineRule="exact"/>
              <w:rPr>
                <w:rFonts w:ascii="宋体" w:hAnsi="宋体"/>
                <w:sz w:val="16"/>
                <w:szCs w:val="16"/>
              </w:rPr>
            </w:pPr>
            <w:r>
              <w:rPr>
                <w:rFonts w:hint="eastAsia" w:ascii="宋体" w:hAnsi="宋体"/>
                <w:sz w:val="16"/>
                <w:szCs w:val="16"/>
              </w:rPr>
              <w:t>《建设工程安全生产管理条例》第五十五条等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对不合格的建设工程按照合格工程验收的</w:t>
            </w:r>
          </w:p>
        </w:tc>
        <w:tc>
          <w:tcPr>
            <w:tcW w:w="1843" w:type="dxa"/>
            <w:vAlign w:val="center"/>
          </w:tcPr>
          <w:p>
            <w:pPr>
              <w:spacing w:line="250" w:lineRule="exact"/>
              <w:jc w:val="center"/>
              <w:rPr>
                <w:rFonts w:ascii="宋体" w:hAnsi="宋体"/>
                <w:sz w:val="16"/>
                <w:szCs w:val="16"/>
              </w:rPr>
            </w:pPr>
            <w:r>
              <w:rPr>
                <w:rFonts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发生工程质量或安全事故未按有关规定及时向相关部门报告质量或安全事故的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《生产安全事故报告和调查处理条例》第四条</w:t>
            </w:r>
          </w:p>
          <w:p>
            <w:pPr>
              <w:spacing w:line="250" w:lineRule="exact"/>
              <w:rPr>
                <w:rFonts w:ascii="宋体" w:hAnsi="宋体"/>
                <w:sz w:val="16"/>
                <w:szCs w:val="16"/>
              </w:rPr>
            </w:pPr>
            <w:r>
              <w:rPr>
                <w:rFonts w:hint="eastAsia" w:ascii="宋体" w:hAnsi="宋体"/>
                <w:sz w:val="16"/>
                <w:szCs w:val="16"/>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《水利工程质量事故处理暂行规定》第三十一条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将生产经营项目、场所、设备发包或者出租给不具备安全生产条件或者相应资质的单位或者个人的</w:t>
            </w:r>
          </w:p>
        </w:tc>
        <w:tc>
          <w:tcPr>
            <w:tcW w:w="1843" w:type="dxa"/>
            <w:vAlign w:val="center"/>
          </w:tcPr>
          <w:p>
            <w:pPr>
              <w:spacing w:line="250" w:lineRule="exact"/>
              <w:jc w:val="center"/>
              <w:rPr>
                <w:rFonts w:ascii="宋体" w:hAnsi="宋体"/>
                <w:sz w:val="16"/>
                <w:szCs w:val="16"/>
              </w:rPr>
            </w:pPr>
            <w:r>
              <w:rPr>
                <w:rFonts w:ascii="宋体" w:hAnsi="宋体"/>
                <w:sz w:val="16"/>
                <w:szCs w:val="16"/>
              </w:rPr>
              <w:t>3</w:t>
            </w:r>
          </w:p>
        </w:tc>
        <w:tc>
          <w:tcPr>
            <w:tcW w:w="4151" w:type="dxa"/>
            <w:vAlign w:val="center"/>
          </w:tcPr>
          <w:p>
            <w:pPr>
              <w:spacing w:line="250" w:lineRule="exact"/>
              <w:rPr>
                <w:rFonts w:ascii="宋体" w:hAnsi="宋体"/>
                <w:sz w:val="16"/>
                <w:szCs w:val="16"/>
              </w:rPr>
            </w:pPr>
            <w:r>
              <w:rPr>
                <w:rFonts w:hint="eastAsia" w:ascii="宋体" w:hAnsi="宋体"/>
                <w:sz w:val="16"/>
                <w:szCs w:val="16"/>
              </w:rPr>
              <w:t>《安全生产法》第一百条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未依规与承包单位、承租单位签订专门的安全生产管理协议或者未在承包合同、租赁合同中明确各自的安全生产管理职责，或者未对承包单位、承租单位的安全生产统一协调、管理的</w:t>
            </w:r>
          </w:p>
        </w:tc>
        <w:tc>
          <w:tcPr>
            <w:tcW w:w="1843" w:type="dxa"/>
            <w:vAlign w:val="center"/>
          </w:tcPr>
          <w:p>
            <w:pPr>
              <w:spacing w:line="250" w:lineRule="exact"/>
              <w:jc w:val="center"/>
              <w:rPr>
                <w:rFonts w:ascii="宋体" w:hAnsi="宋体"/>
                <w:sz w:val="16"/>
                <w:szCs w:val="16"/>
              </w:rPr>
            </w:pPr>
            <w:r>
              <w:rPr>
                <w:rFonts w:ascii="宋体" w:hAnsi="宋体"/>
                <w:sz w:val="16"/>
                <w:szCs w:val="16"/>
              </w:rPr>
              <w:t>3</w:t>
            </w:r>
          </w:p>
        </w:tc>
        <w:tc>
          <w:tcPr>
            <w:tcW w:w="4151" w:type="dxa"/>
            <w:vAlign w:val="center"/>
          </w:tcPr>
          <w:p>
            <w:pPr>
              <w:spacing w:line="250" w:lineRule="exact"/>
              <w:rPr>
                <w:rFonts w:ascii="宋体" w:hAnsi="宋体"/>
                <w:sz w:val="16"/>
                <w:szCs w:val="16"/>
              </w:rPr>
            </w:pPr>
            <w:r>
              <w:rPr>
                <w:rFonts w:hint="eastAsia" w:ascii="宋体" w:hAnsi="宋体"/>
                <w:sz w:val="16"/>
                <w:szCs w:val="16"/>
              </w:rPr>
              <w:t>《安全生产法》第一百条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1.代建单位或社会资本出资方</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1.3质量安全</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未依规提供或支付建设工程安全生产作业环境及安全文明施工措施所需费用的，或者对安全文明施工措施费使用审查把关不严，未发生的安全文明措施仍签字同意支付相应安全文明措施费用的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未提供或支付的扣</w:t>
            </w:r>
            <w:r>
              <w:rPr>
                <w:rFonts w:ascii="宋体" w:hAnsi="宋体"/>
                <w:sz w:val="16"/>
                <w:szCs w:val="16"/>
              </w:rPr>
              <w:t>20</w:t>
            </w:r>
            <w:r>
              <w:rPr>
                <w:rFonts w:hint="eastAsia" w:ascii="宋体" w:hAnsi="宋体"/>
                <w:sz w:val="16"/>
                <w:szCs w:val="16"/>
              </w:rPr>
              <w:t>分，审查把关不严的扣10分</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《建设工程安全生产管理条例》第五十四条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未将保证安全施工的措施或者拆除工程的有关资料报送有关部门备案的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r>
              <w:rPr>
                <w:rFonts w:ascii="宋体" w:hAnsi="宋体"/>
                <w:sz w:val="16"/>
                <w:szCs w:val="16"/>
              </w:rPr>
              <w:t>　</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《建设工程安全生产管理条例》第五十四条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1.4廉政建设</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存在以下廉政行为的（包括但不限于以下方面：</w:t>
            </w:r>
          </w:p>
          <w:p>
            <w:pPr>
              <w:spacing w:line="250" w:lineRule="exact"/>
              <w:rPr>
                <w:rFonts w:ascii="宋体" w:hAnsi="宋体"/>
                <w:sz w:val="16"/>
                <w:szCs w:val="16"/>
              </w:rPr>
            </w:pPr>
            <w:r>
              <w:rPr>
                <w:rFonts w:hint="eastAsia" w:ascii="宋体" w:hAnsi="宋体"/>
                <w:sz w:val="16"/>
                <w:szCs w:val="16"/>
              </w:rPr>
              <w:t>1、参加有可能影响客观、公正履职的宴请的；</w:t>
            </w:r>
          </w:p>
          <w:p>
            <w:pPr>
              <w:spacing w:line="250" w:lineRule="exact"/>
              <w:rPr>
                <w:rFonts w:ascii="宋体" w:hAnsi="宋体"/>
                <w:sz w:val="16"/>
                <w:szCs w:val="16"/>
              </w:rPr>
            </w:pPr>
            <w:r>
              <w:rPr>
                <w:rFonts w:hint="eastAsia" w:ascii="宋体" w:hAnsi="宋体"/>
                <w:sz w:val="16"/>
                <w:szCs w:val="16"/>
              </w:rPr>
              <w:t>2、接受各参建单位工作人员赠送的现金、有价证券等财务的；</w:t>
            </w:r>
          </w:p>
          <w:p>
            <w:pPr>
              <w:spacing w:line="250" w:lineRule="exact"/>
              <w:rPr>
                <w:rFonts w:ascii="宋体" w:hAnsi="宋体"/>
                <w:sz w:val="16"/>
                <w:szCs w:val="16"/>
              </w:rPr>
            </w:pPr>
            <w:r>
              <w:rPr>
                <w:rFonts w:hint="eastAsia" w:ascii="宋体" w:hAnsi="宋体"/>
                <w:sz w:val="16"/>
                <w:szCs w:val="16"/>
              </w:rPr>
              <w:t>3、私自向其他各参建单位违规借车的；</w:t>
            </w:r>
          </w:p>
          <w:p>
            <w:pPr>
              <w:spacing w:line="250" w:lineRule="exact"/>
              <w:rPr>
                <w:rFonts w:ascii="宋体" w:hAnsi="宋体"/>
                <w:sz w:val="16"/>
                <w:szCs w:val="16"/>
              </w:rPr>
            </w:pPr>
            <w:r>
              <w:rPr>
                <w:rFonts w:hint="eastAsia" w:ascii="宋体" w:hAnsi="宋体"/>
                <w:sz w:val="16"/>
                <w:szCs w:val="16"/>
              </w:rPr>
              <w:t>4、在其他各参建单位报销应由个人支付的费用的；</w:t>
            </w:r>
          </w:p>
          <w:p>
            <w:pPr>
              <w:spacing w:line="250" w:lineRule="exact"/>
              <w:rPr>
                <w:rFonts w:ascii="宋体" w:hAnsi="宋体"/>
                <w:sz w:val="16"/>
                <w:szCs w:val="16"/>
              </w:rPr>
            </w:pPr>
            <w:r>
              <w:rPr>
                <w:rFonts w:hint="eastAsia" w:ascii="宋体" w:hAnsi="宋体"/>
                <w:sz w:val="16"/>
                <w:szCs w:val="16"/>
              </w:rPr>
              <w:t>5、利用职务便利为亲戚或特定关系人谋取不正当利益的。）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1.5履约评价</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1.6其他</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未按规定向水行政主管部门申报市场主体不良行为信息的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未申报的每次扣</w:t>
            </w:r>
            <w:r>
              <w:rPr>
                <w:rFonts w:ascii="宋体" w:hAnsi="宋体"/>
                <w:sz w:val="16"/>
                <w:szCs w:val="16"/>
              </w:rPr>
              <w:t>10</w:t>
            </w:r>
            <w:r>
              <w:rPr>
                <w:rFonts w:hint="eastAsia" w:ascii="宋体" w:hAnsi="宋体"/>
                <w:sz w:val="16"/>
                <w:szCs w:val="16"/>
              </w:rPr>
              <w:t>分，滞后申报的每次扣5分，申报事项不全的每缺1项扣2分</w:t>
            </w:r>
          </w:p>
        </w:tc>
        <w:tc>
          <w:tcPr>
            <w:tcW w:w="4151" w:type="dxa"/>
            <w:vAlign w:val="center"/>
          </w:tcPr>
          <w:p>
            <w:pPr>
              <w:spacing w:line="250" w:lineRule="exact"/>
              <w:rPr>
                <w:rFonts w:ascii="宋体" w:hAnsi="宋体"/>
                <w:sz w:val="16"/>
                <w:szCs w:val="16"/>
              </w:rPr>
            </w:pPr>
            <w:r>
              <w:rPr>
                <w:rFonts w:hint="eastAsia" w:ascii="宋体" w:hAnsi="宋体"/>
                <w:sz w:val="16"/>
                <w:szCs w:val="16"/>
              </w:rPr>
              <w:t>《深圳市水务建设市场主体不良行为认定及应用管理办法》等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要求施工单位无理压缩合同约定的合理工期的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《建设工程质量管理条例》第五十六条</w:t>
            </w:r>
            <w:r>
              <w:rPr>
                <w:rFonts w:hint="eastAsia" w:ascii="宋体" w:hAnsi="宋体"/>
                <w:sz w:val="16"/>
                <w:szCs w:val="16"/>
              </w:rPr>
              <w:br w:type="textWrapping"/>
            </w:r>
            <w:r>
              <w:rPr>
                <w:rFonts w:hint="eastAsia" w:ascii="宋体" w:hAnsi="宋体"/>
                <w:sz w:val="16"/>
                <w:szCs w:val="16"/>
              </w:rPr>
              <w:t>《建设工程安全生产管理条例》第五十五条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2.勘察单位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2.勘察单位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rPr>
                <w:rFonts w:ascii="宋体" w:hAnsi="宋体"/>
                <w:sz w:val="16"/>
                <w:szCs w:val="16"/>
              </w:rPr>
            </w:pPr>
            <w:r>
              <w:rPr>
                <w:rFonts w:hint="eastAsia" w:ascii="宋体" w:hAnsi="宋体"/>
                <w:sz w:val="16"/>
                <w:szCs w:val="16"/>
              </w:rPr>
              <w:t>未在规定期限内办理资质变更手续的</w:t>
            </w:r>
          </w:p>
        </w:tc>
        <w:tc>
          <w:tcPr>
            <w:tcW w:w="1843" w:type="dxa"/>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tcPr>
          <w:p>
            <w:pPr>
              <w:spacing w:line="250" w:lineRule="exact"/>
              <w:rPr>
                <w:rFonts w:ascii="宋体" w:hAnsi="宋体"/>
                <w:sz w:val="16"/>
                <w:szCs w:val="16"/>
              </w:rPr>
            </w:pPr>
            <w:r>
              <w:rPr>
                <w:rFonts w:hint="eastAsia"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《招标投标法》第五十三条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《招标投标法实施条例》第三十九条、第四十条、第六十七条</w:t>
            </w:r>
          </w:p>
          <w:p>
            <w:pPr>
              <w:spacing w:line="250" w:lineRule="exact"/>
              <w:ind w:left="-42" w:leftChars="-20" w:right="-42" w:rightChars="-20"/>
              <w:rPr>
                <w:rFonts w:ascii="宋体" w:hAnsi="宋体"/>
                <w:sz w:val="16"/>
                <w:szCs w:val="16"/>
              </w:rPr>
            </w:pP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2.勘察单位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《招标投标法》第五十四条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《招标投标法实施条例》第四十二条、第六十八条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《工程建设项目勘察设计招标投标办法》第五十二条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将中标项目转让给他人的，或者将中标项目肢解后分别转让给他人的，或者违规将中标项目的部分主体、关键性工作分包给他人的，或者分包人再次分包的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《招标投标法》第五十八条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中标人无正当理由不与招标人订立合同，或者在签订合同时向招标人提出附加条件，或者不按照招标文件要求提交履约保证金</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与招标人订立合同的主要条款与招标文件、中标人的投标文件的内容不一致，或者招标人、中标人订立背离合同实质性内容的协议</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jc w:val="center"/>
              <w:rPr>
                <w:rFonts w:ascii="宋体" w:hAnsi="宋体"/>
                <w:sz w:val="16"/>
                <w:szCs w:val="16"/>
              </w:rPr>
            </w:pPr>
            <w:r>
              <w:rPr>
                <w:rFonts w:ascii="宋体" w:hAnsi="宋体"/>
                <w:sz w:val="16"/>
                <w:szCs w:val="16"/>
              </w:rPr>
              <w:t>40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jc w:val="left"/>
              <w:rPr>
                <w:rFonts w:ascii="宋体" w:hAnsi="宋体"/>
                <w:sz w:val="16"/>
                <w:szCs w:val="16"/>
              </w:rPr>
            </w:pPr>
            <w:r>
              <w:rPr>
                <w:rFonts w:hint="eastAsia" w:ascii="宋体" w:hAnsi="宋体"/>
                <w:sz w:val="16"/>
                <w:szCs w:val="16"/>
              </w:rPr>
              <w:t>未按照法律、法规或（和）工程建设强制性标准进行勘察的，或者提供的地质、测量、水文等勘察成果不真实、不准确的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《建设工程勘察设计管理条例》第四十一条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rPr>
                <w:rFonts w:ascii="宋体" w:hAnsi="宋体"/>
                <w:sz w:val="16"/>
                <w:szCs w:val="16"/>
              </w:rPr>
            </w:pPr>
            <w:r>
              <w:rPr>
                <w:rFonts w:hint="eastAsia" w:ascii="宋体" w:hAnsi="宋体"/>
                <w:sz w:val="16"/>
                <w:szCs w:val="16"/>
              </w:rPr>
              <w:t>未按照项目审查（审批）文件或城乡规划及专业规划或国家、省、市、行业规定的建设工程勘察、设计深度等其他相关规范、规定进行勘察的其他行为（成果不真实不准确的除外）</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《建设工程勘察设计管理条例》第四十条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2.勘察单位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勘察水平不高或者不根据现场实际情况进行科学和理性勘察，导致投资浪费或设计变更或施工协调工作量增加或工期延误的（成果不真实不准确的除外）</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《建设工程勘察设计管理条例》第四十条</w:t>
            </w:r>
          </w:p>
          <w:p>
            <w:pPr>
              <w:spacing w:line="250" w:lineRule="exact"/>
              <w:ind w:left="-42" w:leftChars="-20" w:right="-42" w:rightChars="-20"/>
              <w:rPr>
                <w:rFonts w:ascii="宋体" w:hAnsi="宋体"/>
                <w:sz w:val="16"/>
                <w:szCs w:val="16"/>
              </w:rPr>
            </w:pPr>
            <w:r>
              <w:rPr>
                <w:rFonts w:hint="eastAsia" w:ascii="宋体" w:hAnsi="宋体"/>
                <w:sz w:val="16"/>
                <w:szCs w:val="16"/>
              </w:rPr>
              <w:t>《建设工程勘察设计管理条例》第四十一条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在勘察作业时，未严格执行有关操作规程、规定，造成毗邻的建筑物、构筑物和地下管线等设施破坏但未达到事故等级的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《建设工程安全生产管理条例》第十二条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jc w:val="left"/>
              <w:rPr>
                <w:rFonts w:ascii="宋体" w:hAnsi="宋体"/>
                <w:sz w:val="16"/>
                <w:szCs w:val="16"/>
              </w:rPr>
            </w:pPr>
            <w:r>
              <w:rPr>
                <w:rFonts w:hint="eastAsia" w:ascii="宋体" w:hAnsi="宋体"/>
                <w:sz w:val="16"/>
                <w:szCs w:val="16"/>
              </w:rPr>
              <w:t>不按审查意见和有关规定程序修改、变更勘察文件的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jc w:val="left"/>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jc w:val="left"/>
              <w:rPr>
                <w:rFonts w:ascii="宋体" w:hAnsi="宋体"/>
                <w:sz w:val="16"/>
                <w:szCs w:val="16"/>
              </w:rPr>
            </w:pPr>
            <w:r>
              <w:rPr>
                <w:rFonts w:hint="eastAsia" w:ascii="宋体" w:hAnsi="宋体"/>
                <w:sz w:val="16"/>
                <w:szCs w:val="16"/>
              </w:rPr>
              <w:t>勘察单位与建设单位签订的勘察合同合同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发生工程质量或安全事故隐瞒不报、谎报或者迟报的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《建设工程质量管理条例》第七十条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《水利工程质量事故处理暂行规定》第三十七条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不接受水行政主管部门或工程监督机构监督的</w:t>
            </w:r>
            <w:r>
              <w:rPr>
                <w:rFonts w:hint="eastAsia" w:ascii="宋体" w:hAnsi="宋体"/>
                <w:sz w:val="16"/>
                <w:szCs w:val="16"/>
              </w:rPr>
              <w:br w:type="textWrapping"/>
            </w:r>
            <w:r>
              <w:rPr>
                <w:rFonts w:hint="eastAsia" w:ascii="宋体" w:hAnsi="宋体"/>
                <w:sz w:val="16"/>
                <w:szCs w:val="16"/>
              </w:rPr>
              <w:t>（不接受监督的情形包括但不限于以下方面: ①未按水行政主管部门或监督机构要求提供有关工程质量或安全的文件、资料的；②未按水行政主管部门或监督机构要求对工程质量或安全问题进行整改的；③未按水行政主管部门或监督机构要求参加检查或会议活动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《建设工程质量管理条例》第四十三条等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原始记录不按照规定记录或者记录不完整的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未按合同要求时间提交勘察成果的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勘察单位与建设单位签订的勘察合同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未依规对勘察成果资料进行签字盖章的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r>
              <w:rPr>
                <w:rFonts w:hint="eastAsia" w:ascii="宋体" w:hAnsi="宋体"/>
                <w:sz w:val="16"/>
                <w:szCs w:val="16"/>
              </w:rPr>
              <w:br w:type="textWrapping"/>
            </w:r>
            <w:r>
              <w:rPr>
                <w:rFonts w:hint="eastAsia" w:ascii="宋体" w:hAnsi="宋体"/>
                <w:sz w:val="16"/>
                <w:szCs w:val="16"/>
              </w:rPr>
              <w:t>《勘察设计注册工程师管理规定》第二十条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未按规定参加事故调查的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未按照合同规定投入勘察人员的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每次每少一人扣1分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勘察单位与建设单位签订的勘察合同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勘察人员未按照规定或通知要求参加涉及该项目的各种检查（或会议活动）的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每次扣5分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勘察单位与建设单位签订的勘察合同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工作完成后，未按照规定对工程档案资料进行收集、整理、组卷并移交建设单位的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p>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2.3质量安全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《建设工程安全生产管理条例》第五十六条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2.勘察单位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2.3质量安全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未按照规定设立安全生产管理机构的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未按照规定配备安全生产管理人员的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每少</w:t>
            </w:r>
            <w:r>
              <w:rPr>
                <w:rFonts w:ascii="宋体" w:hAnsi="宋体"/>
                <w:sz w:val="16"/>
                <w:szCs w:val="16"/>
              </w:rPr>
              <w:t>1</w:t>
            </w:r>
            <w:r>
              <w:rPr>
                <w:rFonts w:hint="eastAsia" w:ascii="宋体" w:hAnsi="宋体"/>
                <w:sz w:val="16"/>
                <w:szCs w:val="16"/>
              </w:rPr>
              <w:t>人扣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未按照规定对从业人员、被派遣劳动者、实习学生进行安全生产教育和培训，或者未按照规定如实告知从业人员有关的安全生产事项的，或者未如实记录安全生产教育和培训情况的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未教育或未记录的每人每次扣</w:t>
            </w:r>
            <w:r>
              <w:rPr>
                <w:rFonts w:ascii="宋体" w:hAnsi="宋体"/>
                <w:sz w:val="16"/>
                <w:szCs w:val="16"/>
              </w:rPr>
              <w:t>1</w:t>
            </w:r>
            <w:r>
              <w:rPr>
                <w:rFonts w:hint="eastAsia" w:ascii="宋体" w:hAnsi="宋体"/>
                <w:sz w:val="16"/>
                <w:szCs w:val="16"/>
              </w:rPr>
              <w:t>分，记录造假的每人每次扣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特种作业人员未按照规定经专门的安全作业培训并取得特种作业操作资格证书，上岗作业的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每人每次扣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未将事故隐患排查治理情况如实记录或者未向从业人员通报的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未按照规定制定生产安全事故应急救援预案或者未按规定定期组织演练的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在施工现场的以下危险部位（包括但不限于）设置明显的安全警示标志或者设置的安全警示标志不符合要求的：①施工现场入口处、②施工起重机械、③临时用电设施、④脚手架、⑤出入通道口、楼梯口、电梯井口、孔洞口、桥梁口、隧道口、⑥基坑边沿、⑦爆破物及有害危险气体和液体存放处等危险部位</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未设置的，每项每次扣</w:t>
            </w:r>
            <w:r>
              <w:rPr>
                <w:rFonts w:ascii="宋体" w:hAnsi="宋体"/>
                <w:sz w:val="16"/>
                <w:szCs w:val="16"/>
              </w:rPr>
              <w:t>3</w:t>
            </w:r>
            <w:r>
              <w:rPr>
                <w:rFonts w:hint="eastAsia" w:ascii="宋体" w:hAnsi="宋体"/>
                <w:sz w:val="16"/>
                <w:szCs w:val="16"/>
              </w:rPr>
              <w:t>分；有设置但不符合要求的，每项每次扣</w:t>
            </w:r>
            <w:r>
              <w:rPr>
                <w:rFonts w:ascii="宋体" w:hAnsi="宋体"/>
                <w:sz w:val="16"/>
                <w:szCs w:val="16"/>
              </w:rPr>
              <w:t>1</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 第二十八条、第六十二条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安全设备（包括但不限于：①施工起重机械、②临时用电设施、③脚手架、④安全通道、⑤安全护栏、⑥防坠落设施、⑦吊篮、⑧施工机具等）的安装或使用或检测或改造或报废不符合国家标准或者行业标准的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未对安全设备进行经常性维护、保养和定期检测的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未为从业人员提供符合国家标准或者行业标准的劳动防护用品的，或者从业人员存在未按规定使用劳保用品的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未按规定提供或使用的，每人次扣</w:t>
            </w:r>
            <w:r>
              <w:rPr>
                <w:rFonts w:ascii="宋体" w:hAnsi="宋体"/>
                <w:sz w:val="16"/>
                <w:szCs w:val="16"/>
              </w:rPr>
              <w:t>1</w:t>
            </w:r>
            <w:r>
              <w:rPr>
                <w:rFonts w:hint="eastAsia" w:ascii="宋体" w:hAnsi="宋体"/>
                <w:sz w:val="16"/>
                <w:szCs w:val="16"/>
              </w:rPr>
              <w:t>分；检测（查）不合格的，每组扣5分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特种设备以及危险物品的容器、运输工具未经取得专业资质的机构检测、检验合格，并取得安全使用证或者安全标志，即投入使用的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使用应当淘汰的危及生产安全的工艺、设备的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与从业人员订立协议，免除或者减轻其对从业人员因生产安全事故伤亡依法应承担的责任的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p>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2.勘察单位</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2.3质量安全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因欠薪导致所属员工上访或者造成人员死亡的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Merge w:val="continue"/>
            <w:vAlign w:val="center"/>
          </w:tcPr>
          <w:p>
            <w:pPr>
              <w:spacing w:line="250" w:lineRule="exact"/>
              <w:ind w:left="-42" w:leftChars="-20" w:right="-42" w:righ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2.勘察单位</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2.4廉政建设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bookmarkStart w:id="0" w:name="_GoBack"/>
            <w:r>
              <w:rPr>
                <w:rFonts w:hint="eastAsia" w:ascii="宋体" w:hAnsi="宋体"/>
                <w:sz w:val="16"/>
                <w:szCs w:val="16"/>
                <w:lang w:eastAsia="zh-CN"/>
              </w:rPr>
              <w:t>中央八项规定</w:t>
            </w:r>
            <w:bookmarkEnd w:id="0"/>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2.5履约评价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按照勘察合同履行义务的其他行为（包括但不限于：①不参加或者拖延参加水行政主管部门作出的抢险救灾工作；②未按规定参加工程验收；③未按要求进行整改的行为；④未按规定配合建设单位及时完善工程变更手续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每项每次扣3分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3.设计单位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3.1资质管理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rPr>
                <w:rFonts w:ascii="宋体" w:hAnsi="宋体"/>
                <w:sz w:val="16"/>
                <w:szCs w:val="16"/>
              </w:rPr>
            </w:pPr>
            <w:r>
              <w:rPr>
                <w:rFonts w:hint="eastAsia" w:ascii="宋体" w:hAnsi="宋体"/>
                <w:sz w:val="16"/>
                <w:szCs w:val="16"/>
              </w:rPr>
              <w:t>未在规定期限内办理资质变更手续</w:t>
            </w:r>
          </w:p>
        </w:tc>
        <w:tc>
          <w:tcPr>
            <w:tcW w:w="1843" w:type="dxa"/>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tcPr>
          <w:p>
            <w:pPr>
              <w:spacing w:line="250" w:lineRule="exact"/>
              <w:rPr>
                <w:rFonts w:ascii="宋体" w:hAnsi="宋体"/>
                <w:sz w:val="16"/>
                <w:szCs w:val="16"/>
              </w:rPr>
            </w:pPr>
            <w:r>
              <w:rPr>
                <w:rFonts w:hint="eastAsia"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《招标投标法》第五十三条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《招标投标法实施条例》第三十九条、第四十条、第六十七条</w:t>
            </w:r>
          </w:p>
          <w:p>
            <w:pPr>
              <w:spacing w:line="250" w:lineRule="exact"/>
              <w:ind w:left="-42" w:leftChars="-20" w:right="-42" w:rightChars="-20"/>
              <w:rPr>
                <w:rFonts w:ascii="宋体" w:hAnsi="宋体"/>
                <w:sz w:val="16"/>
                <w:szCs w:val="16"/>
              </w:rPr>
            </w:pP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3.设计单位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《招标投标法》第五十四条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《招标投标法实施条例》第四十二条、第六十八条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《工程建设项目勘察设计招标投标办法》第五十二条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将中标项目转让给他人的，或者将中标项目肢解后分别转让给他人的，或者违规将中标项目的部分主体、关键性工作分包给他人的，或者分包人再次分包的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《招标投标法》第五十八条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中标人无正当理由不与招标人订立合同，或者在签订合同时向招标人提出附加条件，或者不按照招标文件要求提交履约保证金</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与招标人订立合同的主要条款与招标文件、中标人的投标文件的内容不一致，或者招标人、中标人订立背离合同实质性内容的协议</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未按照法律、法规规定或工程建设强制性标准进行设计的，或者未根据勘察成果文件进行工程设计的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《建设工程勘察设计管理条例》第四十一条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采用新结构、新材料、新工艺的建设工程和特殊结构的建设工程，设计单位未在设计中提出保障施工作业人员安全和预防生产安全事故的措施建议的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未按照合同要求时间提交设计成果的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3.设计单位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未按照审查意见修改项目建议书的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项目建议书批复意见或建设工程方案设计核查或建设项目规划选址意见书或用地预审或环评或地质灾害危险性评估报告或节能评估或水保等审查意见编制可行性研究报告的、或估算未经批准突破投资控制原则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未按照可研批复意见或建设用地规划许可或环评或地质灾害危险性评估报告或节能评估或水保等相关前期审查意见以及安全文明施工标准编制初步设计报告及概算，或者概算未经批准突破投资控制原则的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未按照初步设计及概算批复意见及安全文明施工标准编制施工图，出现漏项或者违背限额设计原则，造成变更或者工期延误的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不按照海绵城市设计理念和标准进行设计的，以及未将海绵城市方案设计事中核查意见纳入设计文件中的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p>
            <w:pPr>
              <w:spacing w:line="250" w:lineRule="exact"/>
              <w:ind w:left="-42" w:leftChars="-20" w:right="-42" w:rightChars="-20"/>
              <w:rPr>
                <w:rFonts w:ascii="宋体" w:hAnsi="宋体"/>
                <w:sz w:val="16"/>
                <w:szCs w:val="16"/>
              </w:rPr>
            </w:pPr>
            <w:r>
              <w:rPr>
                <w:rFonts w:hint="eastAsia" w:ascii="宋体" w:hAnsi="宋体"/>
                <w:sz w:val="16"/>
                <w:szCs w:val="16"/>
              </w:rPr>
              <w:t>《深圳市海绵城市建设管理暂行办法》第三十四条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设计依据的基本资料不完整、不准确、不可靠，设计论证不充分，计算成果不准确，或者不根据现场实际情况进行科学理性设计导致投资浪费、设计变更、施工协调工作量增加或者工期延误的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未及时进行设计交底的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设计变更资料提交不及时，或者设计变更内容不合理，或者由于设计单位的原因导致设计变更程序不规范的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由于设计单位自身原因，其设计成果被审查部门否决不予通过的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未按合同约定配合相关单位开展竣工图编制工作的（包括但不限于未按合同约定向建设单位提供未加密且可修改的CAD电子版图纸的）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由于设计不合理造成工程质量缺陷的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未依规对设计成果资料进行签字盖章的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r>
              <w:rPr>
                <w:rFonts w:hint="eastAsia" w:ascii="宋体" w:hAnsi="宋体"/>
                <w:sz w:val="16"/>
                <w:szCs w:val="16"/>
              </w:rPr>
              <w:br w:type="textWrapping"/>
            </w:r>
            <w:r>
              <w:rPr>
                <w:rFonts w:hint="eastAsia" w:ascii="宋体" w:hAnsi="宋体"/>
                <w:sz w:val="16"/>
                <w:szCs w:val="16"/>
              </w:rPr>
              <w:t>《勘察设计注册工程师管理规定》第二十条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未按规定参加事故调查的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3.设计单位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设计人员未按照规定或通知要求参加涉及该项目的各种检查（或会议活动）的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每次扣5分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工作完成后，未按照规定对工程档案资料进行收集、整理、组卷并移交建设单位的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《建设工程勘察质量管理办法》第二十五条</w:t>
            </w:r>
          </w:p>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未按照设计合同派出设计代表配合施工的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《水利工程质量管理规定》第二十八条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《建设工程安全生产管理条例》第五十六条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指定建筑材料、建筑构配件的生产厂家或者供应商的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不接受水行政主管部门或工程监督机构监督的</w:t>
            </w:r>
            <w:r>
              <w:rPr>
                <w:rFonts w:hint="eastAsia" w:ascii="宋体" w:hAnsi="宋体"/>
                <w:sz w:val="16"/>
                <w:szCs w:val="16"/>
              </w:rPr>
              <w:br w:type="textWrapping"/>
            </w:r>
            <w:r>
              <w:rPr>
                <w:rFonts w:hint="eastAsia" w:ascii="宋体" w:hAnsi="宋体"/>
                <w:sz w:val="16"/>
                <w:szCs w:val="16"/>
              </w:rPr>
              <w:t>（不接受监督的情形包括但不限于以下方面: ①未按水行政主管部门或监督机构要求提供有关工程质量或安全的文件、资料的；②未按水行政主管部门或监督机构要求对工程质量或安全问题进行整改的；③未按水行政主管部门或监督机构要求参加检查或会议活动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《建设工程质量管理条例》第四十三条等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因欠薪导致所属员工上访或者造成人员死亡的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Merge w:val="continue"/>
            <w:vAlign w:val="center"/>
          </w:tcPr>
          <w:p>
            <w:pPr>
              <w:spacing w:line="250" w:lineRule="exact"/>
              <w:ind w:left="-42" w:leftChars="-20" w:right="-42" w:righ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3.设计单位</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3.4廉政建设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3.5履约评价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3.6其他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不可抗力原因，中标人不按照与招标人订立的合同履行义务的其他行为的（包括但不限于：①不参加或者拖延参加水行政主管部门作出的抢险救灾工作；②未按规定参加工程验收的；③未按要求进行整改的行为；④未按规定及时出具设计变更文件或者处理有关设计变更事项的行为）</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设计单位与建设单位签订的设计合同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未取得资质证书承揽工程的，或者未取得安全生产许可证擅自进行生产的，或者安全生产许可证有效期满未办理延期手续，继续进行生产的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p>
            <w:pPr>
              <w:spacing w:line="250" w:lineRule="exact"/>
              <w:ind w:left="-42" w:leftChars="-20" w:right="-42" w:rightChars="-20"/>
              <w:rPr>
                <w:rFonts w:ascii="宋体" w:hAnsi="宋体"/>
                <w:sz w:val="16"/>
                <w:szCs w:val="16"/>
              </w:rPr>
            </w:pPr>
            <w:r>
              <w:rPr>
                <w:rFonts w:hint="eastAsia" w:ascii="宋体" w:hAnsi="宋体"/>
                <w:sz w:val="16"/>
                <w:szCs w:val="16"/>
              </w:rPr>
              <w:t>《安全生产许可证条例》第十九条</w:t>
            </w:r>
          </w:p>
          <w:p>
            <w:pPr>
              <w:spacing w:line="250" w:lineRule="exact"/>
              <w:ind w:left="-42" w:leftChars="-20" w:right="-42" w:rightChars="-20"/>
              <w:rPr>
                <w:rFonts w:ascii="宋体" w:hAnsi="宋体"/>
                <w:sz w:val="16"/>
                <w:szCs w:val="16"/>
              </w:rPr>
            </w:pPr>
            <w:r>
              <w:rPr>
                <w:rFonts w:hint="eastAsia" w:ascii="宋体" w:hAnsi="宋体"/>
                <w:sz w:val="16"/>
                <w:szCs w:val="16"/>
              </w:rPr>
              <w:t>《安全生产许可证条例》第二十条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以欺骗手段取得资质证书承揽工程的，或者冒用安全生产许可证或者使用伪造的安全生产许可证的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p>
            <w:pPr>
              <w:spacing w:line="250" w:lineRule="exact"/>
              <w:ind w:left="-42" w:leftChars="-20" w:right="-42" w:rightChars="-20"/>
              <w:rPr>
                <w:rFonts w:ascii="宋体" w:hAnsi="宋体"/>
                <w:sz w:val="16"/>
                <w:szCs w:val="16"/>
              </w:rPr>
            </w:pPr>
            <w:r>
              <w:rPr>
                <w:rFonts w:hint="eastAsia" w:ascii="宋体" w:hAnsi="宋体"/>
                <w:sz w:val="16"/>
                <w:szCs w:val="16"/>
              </w:rPr>
              <w:t>《安全生产许可证条例》第二十一条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允许其他单位或者个人以本单位名义承揽工程的，或者转让安全生产许可证的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p>
            <w:pPr>
              <w:spacing w:line="250" w:lineRule="exact"/>
              <w:ind w:left="-42" w:leftChars="-20" w:right="-42" w:rightChars="-20"/>
              <w:rPr>
                <w:rFonts w:ascii="宋体" w:hAnsi="宋体"/>
                <w:sz w:val="16"/>
                <w:szCs w:val="16"/>
              </w:rPr>
            </w:pPr>
            <w:r>
              <w:rPr>
                <w:rFonts w:hint="eastAsia" w:ascii="宋体" w:hAnsi="宋体"/>
                <w:sz w:val="16"/>
                <w:szCs w:val="16"/>
              </w:rPr>
              <w:t>《安全生产许可证条例》第二十一条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ind w:left="-42" w:leftChars="-20"/>
              <w:rPr>
                <w:rFonts w:ascii="宋体" w:hAnsi="宋体"/>
                <w:sz w:val="16"/>
                <w:szCs w:val="16"/>
              </w:rPr>
            </w:pPr>
            <w:r>
              <w:rPr>
                <w:rFonts w:hint="eastAsia" w:ascii="宋体" w:hAnsi="宋体"/>
                <w:sz w:val="16"/>
                <w:szCs w:val="16"/>
              </w:rPr>
              <w:t>未在规定期限内办理资质变更手续</w:t>
            </w:r>
          </w:p>
        </w:tc>
        <w:tc>
          <w:tcPr>
            <w:tcW w:w="1843" w:type="dxa"/>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tcPr>
          <w:p>
            <w:pPr>
              <w:spacing w:line="250" w:lineRule="exact"/>
              <w:ind w:left="-42" w:leftChars="-20"/>
              <w:rPr>
                <w:rFonts w:ascii="宋体" w:hAnsi="宋体"/>
                <w:sz w:val="16"/>
                <w:szCs w:val="16"/>
              </w:rPr>
            </w:pPr>
            <w:r>
              <w:rPr>
                <w:rFonts w:hint="eastAsia"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申请企业资质时，隐瞒有关真实情况或者提交虚假材料的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《建筑业企业资质管理规定》第三十五条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《招标投标法》第五十三条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《招标投标法实施条例》第三十九条、第四十条、第六十七条</w:t>
            </w:r>
          </w:p>
          <w:p>
            <w:pPr>
              <w:spacing w:line="250" w:lineRule="exact"/>
              <w:ind w:left="-42" w:leftChars="-20" w:right="-42" w:rightChars="-20"/>
              <w:rPr>
                <w:rFonts w:ascii="宋体" w:hAnsi="宋体"/>
                <w:sz w:val="16"/>
                <w:szCs w:val="16"/>
              </w:rPr>
            </w:pP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《招标投标法》第五十四条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《招标投标法实施条例》第四十二条、第六十八条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《工程建设项目勘察设计招标投标办法》第五十二条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将中标项目转让给他人的，或者将中标项目肢解后分别转让给他人的，或者违规将中标项目的部分主体、关键性工作分包给他人的，或者分包人再次分包的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《招标投标法》第五十八条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中标人无正当理由不与招标人订立合同，或者在签订合同时向招标人提出附加条件，或者不按照招标文件要求提交履约保证金</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与招标人订立合同的主要条款与招标文件、中标人的投标文件的内容不一致，或者招标人、中标人订立背离合同实质性内容的协议</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《工程建设项目招标投标活动投诉处理办法》（国家七部委</w:t>
            </w:r>
            <w:r>
              <w:rPr>
                <w:rFonts w:ascii="宋体" w:hAnsi="宋体"/>
                <w:sz w:val="16"/>
                <w:szCs w:val="16"/>
              </w:rPr>
              <w:t>11</w:t>
            </w:r>
            <w:r>
              <w:rPr>
                <w:rFonts w:hint="eastAsia" w:ascii="宋体" w:hAnsi="宋体"/>
                <w:sz w:val="16"/>
                <w:szCs w:val="16"/>
              </w:rPr>
              <w:t>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不配合办理开工或监督手续的（包括但不限于：提供有关技术方案、资质材料、保险、劳务工两制落实等）</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承包人与建设单位签订的施工承包合同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未按规定完善施工组织设计、与本项目有关的危险性较大分部分项工程施工专项方案并遵照执行的或者方案未经批准擅自施工的（对质量或安全事故负有责任的情形除外）</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个方案或每有1个方案未遵照执行的扣10分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《建设工程安全生产管理条例》第二十六条、第六十五条</w:t>
            </w:r>
          </w:p>
          <w:p>
            <w:pPr>
              <w:spacing w:line="250" w:lineRule="exact"/>
              <w:ind w:left="-42" w:leftChars="-20" w:right="-42" w:rightChars="-20"/>
              <w:rPr>
                <w:rFonts w:ascii="宋体" w:hAnsi="宋体"/>
                <w:sz w:val="16"/>
                <w:szCs w:val="16"/>
              </w:rPr>
            </w:pPr>
            <w:r>
              <w:rPr>
                <w:rFonts w:hint="eastAsia" w:ascii="宋体" w:hAnsi="宋体"/>
                <w:sz w:val="16"/>
                <w:szCs w:val="16"/>
              </w:rPr>
              <w:t>施工单位与建设单位签订的施工承建合同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完善与本项目有关的除施工组织设计、危险性较大分部分项工程施工专项方案之外的其他施工技术方案、专项方案的编制并遵照执行的或者方案未经批准擅自施工的（对质量或安全事故负有责任的情形除外）</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个方案或每有1个方案未遵照执行的扣5分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《建设工程安全生产管理条例》第二十六条、第六十五条</w:t>
            </w:r>
          </w:p>
          <w:p>
            <w:pPr>
              <w:spacing w:line="250" w:lineRule="exact"/>
              <w:ind w:left="-42" w:leftChars="-20" w:right="-42" w:rightChars="-20"/>
              <w:rPr>
                <w:rFonts w:ascii="宋体" w:hAnsi="宋体"/>
                <w:sz w:val="16"/>
                <w:szCs w:val="16"/>
              </w:rPr>
            </w:pPr>
            <w:r>
              <w:rPr>
                <w:rFonts w:hint="eastAsia" w:ascii="宋体" w:hAnsi="宋体"/>
                <w:sz w:val="16"/>
                <w:szCs w:val="16"/>
              </w:rPr>
              <w:t>施工单位与建设单位签订的施工承建合同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在施工中偷工减料的，或使用不合格的建筑材料、建筑构配件和设备的（含监督抽检、飞行检测发现的不合格原材料、中间产品、构配件及设备、工程实体施工质量、施工安全设施质量），或有不按照经审查同意的工程设计图纸或者施工技术规范（标准）施工的其他行为（对质量或安全事故负有责任的情形除外）</w:t>
            </w:r>
          </w:p>
        </w:tc>
        <w:tc>
          <w:tcPr>
            <w:tcW w:w="1843" w:type="dxa"/>
            <w:vAlign w:val="center"/>
          </w:tcPr>
          <w:p>
            <w:pPr>
              <w:spacing w:line="250" w:lineRule="exact"/>
              <w:ind w:left="-42" w:right="-42" w:rightChars="-20"/>
              <w:rPr>
                <w:rFonts w:ascii="宋体" w:hAnsi="宋体"/>
                <w:sz w:val="16"/>
                <w:szCs w:val="16"/>
              </w:rPr>
            </w:pPr>
            <w:r>
              <w:rPr>
                <w:rFonts w:hint="eastAsia" w:ascii="宋体" w:hAnsi="宋体"/>
                <w:sz w:val="16"/>
                <w:szCs w:val="16"/>
              </w:rPr>
              <w:t>①在危大工程、地基与基础、主体结构、桩、防渗墙、坝体填筑等关键部位、重要隐蔽等工程中，每存在一处未按要求施工或者每有一组检测不合格结果的扣10分；②在其他非关键部位、重要隐蔽的永久性工程中，每存在一处未按要求施工或者每有一组检测不合格结果的扣5分；③在其他临时工程中（不含危大工程），每存在一处未按要求施工或者每有一组检测不合格结果的扣3分；④“每处”是指按每个单元工程或检验批计。</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单元工程（检验批、工序）的质量未经监理机构复核合格并签字同意或者复核不合格，即擅自进入下一单元工程（检验批、工序）施工的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《水利工程施工监理规范》第</w:t>
            </w:r>
            <w:r>
              <w:rPr>
                <w:rFonts w:ascii="宋体" w:hAnsi="宋体"/>
                <w:sz w:val="16"/>
                <w:szCs w:val="16"/>
              </w:rPr>
              <w:t>6.2.10</w:t>
            </w:r>
            <w:r>
              <w:rPr>
                <w:rFonts w:hint="eastAsia" w:ascii="宋体" w:hAnsi="宋体"/>
                <w:sz w:val="16"/>
                <w:szCs w:val="1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未按规定对建筑材料、建筑构配件、设备和商品混凝土进行检验，或者未按规定对涉及结构安全的试块、试件以及有关材料取样检测的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每缺少</w:t>
            </w:r>
            <w:r>
              <w:rPr>
                <w:rFonts w:ascii="宋体" w:hAnsi="宋体"/>
                <w:sz w:val="16"/>
                <w:szCs w:val="16"/>
              </w:rPr>
              <w:t>1</w:t>
            </w:r>
            <w:r>
              <w:rPr>
                <w:rFonts w:hint="eastAsia" w:ascii="宋体" w:hAnsi="宋体"/>
                <w:sz w:val="16"/>
                <w:szCs w:val="16"/>
              </w:rPr>
              <w:t>组扣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不履行保修义务或者拖延履行保修义务的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《水利工程质量事故处理暂行规定》第三十四条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发生工程质量或安全事故隐瞒不报、谎报或者迟报的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《建设工程质量管理条例》第七十条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《水利工程质量事故处理暂行规定》第三十七条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未按照建设单位、监理单位、水行政主管部门或者其委托的监督机构等有关单位的要求，对其施工存在的问题进行限期整改或者整改后仍不合格的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《深圳市建筑市场严重违法行为特别处理规定》第五条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不接受水行政主管部门或工程监督机构监督的</w:t>
            </w:r>
            <w:r>
              <w:rPr>
                <w:rFonts w:hint="eastAsia" w:ascii="宋体" w:hAnsi="宋体"/>
                <w:sz w:val="16"/>
                <w:szCs w:val="16"/>
              </w:rPr>
              <w:br w:type="textWrapping"/>
            </w:r>
            <w:r>
              <w:rPr>
                <w:rFonts w:hint="eastAsia" w:ascii="宋体" w:hAnsi="宋体"/>
                <w:sz w:val="16"/>
                <w:szCs w:val="16"/>
              </w:rPr>
              <w:t>（不接受监督的情形包括但不限于以下方面: ①未按水行政主管部门或监督机构要求提供有关工程质量或安全的文件、资料的；②未按水行政主管部门或监督机构要求对工程质量或安全问题进行整改的；③未按水行政主管部门或监督机构要求参加检查或会议活动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《建设工程质量管理条例》第四十三条等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已竣工（完工）工程质量不符合国家、省、市、行业现行的工程标准及设计文件要求的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《水利工程质量管理规定》第三十四条、四十三条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工作完成后，未按照规定对工程档案资料进行收集、整理、组卷并移交建设单位的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《水利工程质量管理规定》第三十四条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工程档案资料（含竣工图、结决算、工程款支付资料）填写不规范或者弄虚作假、伪造记录，与实际不符的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填写不规范的，每次扣3分；弄虚作假、伪造记录的，每次扣10分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《水利工程质量管理规定》第四十四条第（六）项</w:t>
            </w:r>
          </w:p>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未按规定建立健全并严格实施下列安全生产制度的（包括但不限于）：</w:t>
            </w:r>
          </w:p>
          <w:p>
            <w:pPr>
              <w:spacing w:line="250" w:lineRule="exact"/>
              <w:ind w:left="-42" w:leftChars="-20" w:right="-42" w:rightChars="-20"/>
              <w:rPr>
                <w:rFonts w:ascii="宋体" w:hAnsi="宋体"/>
                <w:sz w:val="16"/>
                <w:szCs w:val="16"/>
              </w:rPr>
            </w:pPr>
            <w:r>
              <w:rPr>
                <w:rFonts w:ascii="宋体" w:hAnsi="宋体"/>
                <w:sz w:val="16"/>
                <w:szCs w:val="16"/>
              </w:rPr>
              <w:t>1</w:t>
            </w:r>
            <w:r>
              <w:rPr>
                <w:rFonts w:hint="eastAsia" w:ascii="宋体" w:hAnsi="宋体"/>
                <w:sz w:val="16"/>
                <w:szCs w:val="16"/>
              </w:rPr>
              <w:t>．安全生产责任制度和安全生产考核、奖惩制度；</w:t>
            </w:r>
          </w:p>
          <w:p>
            <w:pPr>
              <w:spacing w:line="250" w:lineRule="exact"/>
              <w:ind w:left="-42" w:leftChars="-20" w:right="-42" w:rightChars="-20"/>
              <w:rPr>
                <w:rFonts w:ascii="宋体" w:hAnsi="宋体"/>
                <w:sz w:val="16"/>
                <w:szCs w:val="16"/>
              </w:rPr>
            </w:pPr>
            <w:r>
              <w:rPr>
                <w:rFonts w:ascii="宋体" w:hAnsi="宋体"/>
                <w:sz w:val="16"/>
                <w:szCs w:val="16"/>
              </w:rPr>
              <w:t>2</w:t>
            </w:r>
            <w:r>
              <w:rPr>
                <w:rFonts w:hint="eastAsia" w:ascii="宋体" w:hAnsi="宋体"/>
                <w:sz w:val="16"/>
                <w:szCs w:val="16"/>
              </w:rPr>
              <w:t>．安全生产岗位检查、日常安全检查和专业性安全检查制度；</w:t>
            </w:r>
          </w:p>
          <w:p>
            <w:pPr>
              <w:spacing w:line="250" w:lineRule="exact"/>
              <w:ind w:left="-42" w:leftChars="-20" w:right="-42" w:rightChars="-20"/>
              <w:rPr>
                <w:rFonts w:ascii="宋体" w:hAnsi="宋体"/>
                <w:sz w:val="16"/>
                <w:szCs w:val="16"/>
              </w:rPr>
            </w:pPr>
            <w:r>
              <w:rPr>
                <w:rFonts w:ascii="宋体" w:hAnsi="宋体"/>
                <w:sz w:val="16"/>
                <w:szCs w:val="16"/>
              </w:rPr>
              <w:t>3</w:t>
            </w:r>
            <w:r>
              <w:rPr>
                <w:rFonts w:hint="eastAsia" w:ascii="宋体" w:hAnsi="宋体"/>
                <w:sz w:val="16"/>
                <w:szCs w:val="16"/>
              </w:rPr>
              <w:t>．重大危险源辨识、监控和隐患排查、登记、治理制度；</w:t>
            </w:r>
            <w:r>
              <w:rPr>
                <w:rFonts w:ascii="宋体" w:hAnsi="宋体"/>
                <w:sz w:val="16"/>
                <w:szCs w:val="16"/>
              </w:rPr>
              <w:br w:type="textWrapping"/>
            </w:r>
            <w:r>
              <w:rPr>
                <w:rFonts w:ascii="宋体" w:hAnsi="宋体"/>
                <w:sz w:val="16"/>
                <w:szCs w:val="16"/>
              </w:rPr>
              <w:t>4</w:t>
            </w:r>
            <w:r>
              <w:rPr>
                <w:rFonts w:hint="eastAsia" w:ascii="宋体" w:hAnsi="宋体"/>
                <w:sz w:val="16"/>
                <w:szCs w:val="16"/>
              </w:rPr>
              <w:t>．安全生产资金投入和设备、设施保障制度；</w:t>
            </w:r>
            <w:r>
              <w:rPr>
                <w:rFonts w:ascii="宋体" w:hAnsi="宋体"/>
                <w:sz w:val="16"/>
                <w:szCs w:val="16"/>
              </w:rPr>
              <w:br w:type="textWrapping"/>
            </w:r>
            <w:r>
              <w:rPr>
                <w:rFonts w:ascii="宋体" w:hAnsi="宋体"/>
                <w:sz w:val="16"/>
                <w:szCs w:val="16"/>
              </w:rPr>
              <w:t>5</w:t>
            </w:r>
            <w:r>
              <w:rPr>
                <w:rFonts w:hint="eastAsia" w:ascii="宋体" w:hAnsi="宋体"/>
                <w:sz w:val="16"/>
                <w:szCs w:val="16"/>
              </w:rPr>
              <w:t>．具有较大危险、危害因素的生产经营场所、设备和设施的安全管理制度以及危险作业管理制度；</w:t>
            </w:r>
            <w:r>
              <w:rPr>
                <w:rFonts w:ascii="宋体" w:hAnsi="宋体"/>
                <w:sz w:val="16"/>
                <w:szCs w:val="16"/>
              </w:rPr>
              <w:br w:type="textWrapping"/>
            </w:r>
            <w:r>
              <w:rPr>
                <w:rFonts w:ascii="宋体" w:hAnsi="宋体"/>
                <w:sz w:val="16"/>
                <w:szCs w:val="16"/>
              </w:rPr>
              <w:t>6</w:t>
            </w:r>
            <w:r>
              <w:rPr>
                <w:rFonts w:hint="eastAsia" w:ascii="宋体" w:hAnsi="宋体"/>
                <w:sz w:val="16"/>
                <w:szCs w:val="16"/>
              </w:rPr>
              <w:t>．安全生产教育、培训和持证上岗制度；</w:t>
            </w:r>
            <w:r>
              <w:rPr>
                <w:rFonts w:ascii="宋体" w:hAnsi="宋体"/>
                <w:sz w:val="16"/>
                <w:szCs w:val="16"/>
              </w:rPr>
              <w:br w:type="textWrapping"/>
            </w:r>
            <w:r>
              <w:rPr>
                <w:rFonts w:ascii="宋体" w:hAnsi="宋体"/>
                <w:sz w:val="16"/>
                <w:szCs w:val="16"/>
              </w:rPr>
              <w:t>7</w:t>
            </w:r>
            <w:r>
              <w:rPr>
                <w:rFonts w:hint="eastAsia" w:ascii="宋体" w:hAnsi="宋体"/>
                <w:sz w:val="16"/>
                <w:szCs w:val="16"/>
              </w:rPr>
              <w:t>．劳动防护用品配备和使用管理制度以及职业健康措施保障制度；</w:t>
            </w:r>
            <w:r>
              <w:rPr>
                <w:rFonts w:ascii="宋体" w:hAnsi="宋体"/>
                <w:sz w:val="16"/>
                <w:szCs w:val="16"/>
              </w:rPr>
              <w:t>8</w:t>
            </w:r>
            <w:r>
              <w:rPr>
                <w:rFonts w:hint="eastAsia" w:ascii="宋体" w:hAnsi="宋体"/>
                <w:sz w:val="16"/>
                <w:szCs w:val="16"/>
              </w:rPr>
              <w:t>．事故报告应急救援和调查处理制度；</w:t>
            </w:r>
            <w:r>
              <w:rPr>
                <w:rFonts w:ascii="宋体" w:hAnsi="宋体"/>
                <w:sz w:val="16"/>
                <w:szCs w:val="16"/>
              </w:rPr>
              <w:br w:type="textWrapping"/>
            </w:r>
            <w:r>
              <w:rPr>
                <w:rFonts w:ascii="宋体" w:hAnsi="宋体"/>
                <w:sz w:val="16"/>
                <w:szCs w:val="16"/>
              </w:rPr>
              <w:t>9</w:t>
            </w:r>
            <w:r>
              <w:rPr>
                <w:rFonts w:hint="eastAsia" w:ascii="宋体" w:hAnsi="宋体"/>
                <w:sz w:val="16"/>
                <w:szCs w:val="16"/>
              </w:rPr>
              <w:t>．安全生产管理台账、档案制度；</w:t>
            </w:r>
          </w:p>
          <w:p>
            <w:pPr>
              <w:spacing w:line="250" w:lineRule="exact"/>
              <w:ind w:left="-42" w:leftChars="-20" w:right="-42" w:rightChars="-20"/>
              <w:rPr>
                <w:rFonts w:ascii="宋体" w:hAnsi="宋体"/>
                <w:sz w:val="16"/>
                <w:szCs w:val="16"/>
              </w:rPr>
            </w:pPr>
            <w:r>
              <w:rPr>
                <w:rFonts w:ascii="宋体" w:hAnsi="宋体"/>
                <w:sz w:val="16"/>
                <w:szCs w:val="16"/>
              </w:rPr>
              <w:t>10</w:t>
            </w:r>
            <w:r>
              <w:rPr>
                <w:rFonts w:hint="eastAsia" w:ascii="宋体" w:hAnsi="宋体"/>
                <w:sz w:val="16"/>
                <w:szCs w:val="16"/>
              </w:rPr>
              <w:t>．分包（供）方安全生产管理制度；</w:t>
            </w:r>
          </w:p>
          <w:p>
            <w:pPr>
              <w:spacing w:line="250" w:lineRule="exact"/>
              <w:ind w:left="-42" w:leftChars="-20" w:right="-42" w:rightChars="-20"/>
              <w:rPr>
                <w:rFonts w:ascii="宋体" w:hAnsi="宋体"/>
                <w:sz w:val="16"/>
                <w:szCs w:val="16"/>
              </w:rPr>
            </w:pPr>
            <w:r>
              <w:rPr>
                <w:rFonts w:ascii="宋体" w:hAnsi="宋体"/>
                <w:sz w:val="16"/>
                <w:szCs w:val="16"/>
              </w:rPr>
              <w:t>11</w:t>
            </w:r>
            <w:r>
              <w:rPr>
                <w:rFonts w:hint="eastAsia" w:ascii="宋体" w:hAnsi="宋体"/>
                <w:sz w:val="16"/>
                <w:szCs w:val="16"/>
              </w:rPr>
              <w:t>．施工现场安全管理制度。</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《广东省安全生产条例》第十条</w:t>
            </w:r>
          </w:p>
          <w:p>
            <w:pPr>
              <w:spacing w:line="250" w:lineRule="exact"/>
              <w:ind w:left="-42" w:leftChars="-20" w:right="-42" w:rightChars="-20"/>
              <w:rPr>
                <w:rFonts w:ascii="宋体" w:hAnsi="宋体"/>
                <w:sz w:val="16"/>
                <w:szCs w:val="16"/>
              </w:rPr>
            </w:pPr>
            <w:r>
              <w:rPr>
                <w:rFonts w:hint="eastAsia" w:ascii="宋体" w:hAnsi="宋体"/>
                <w:sz w:val="16"/>
                <w:szCs w:val="16"/>
              </w:rPr>
              <w:t>《施工企业安全生产管理规范》（</w:t>
            </w:r>
            <w:r>
              <w:rPr>
                <w:rFonts w:ascii="宋体" w:hAnsi="宋体"/>
                <w:sz w:val="16"/>
                <w:szCs w:val="16"/>
              </w:rPr>
              <w:t>GB50656-</w:t>
            </w:r>
          </w:p>
          <w:p>
            <w:pPr>
              <w:spacing w:line="250" w:lineRule="exact"/>
              <w:ind w:left="-42" w:leftChars="-20" w:right="-42" w:rightChars="-20"/>
              <w:rPr>
                <w:rFonts w:ascii="宋体" w:hAnsi="宋体"/>
                <w:sz w:val="16"/>
                <w:szCs w:val="16"/>
              </w:rPr>
            </w:pPr>
            <w:r>
              <w:rPr>
                <w:rFonts w:ascii="宋体" w:hAnsi="宋体"/>
                <w:sz w:val="16"/>
                <w:szCs w:val="16"/>
              </w:rPr>
              <w:t>2011</w:t>
            </w:r>
            <w:r>
              <w:rPr>
                <w:rFonts w:hint="eastAsia" w:ascii="宋体" w:hAnsi="宋体"/>
                <w:sz w:val="16"/>
                <w:szCs w:val="16"/>
              </w:rPr>
              <w:t>）第</w:t>
            </w:r>
            <w:r>
              <w:rPr>
                <w:rFonts w:ascii="宋体" w:hAnsi="宋体"/>
                <w:sz w:val="16"/>
                <w:szCs w:val="16"/>
              </w:rPr>
              <w:t>6</w:t>
            </w:r>
            <w:r>
              <w:rPr>
                <w:rFonts w:hint="eastAsia" w:ascii="宋体" w:hAnsi="宋体"/>
                <w:sz w:val="16"/>
                <w:szCs w:val="16"/>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主要负责人在本单位发生生产安全事故时，不立即组织抢救或者在事故调查处理期间擅离或者逃匿的；主要负责人对生产安全事故隐瞒不报、谎报或者迟报的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未按规定设立安全生产管理机构的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未按规定配备专职安全生产管理人员的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每少</w:t>
            </w:r>
            <w:r>
              <w:rPr>
                <w:rFonts w:ascii="宋体" w:hAnsi="宋体"/>
                <w:sz w:val="16"/>
                <w:szCs w:val="16"/>
              </w:rPr>
              <w:t>1</w:t>
            </w:r>
            <w:r>
              <w:rPr>
                <w:rFonts w:hint="eastAsia" w:ascii="宋体" w:hAnsi="宋体"/>
                <w:sz w:val="16"/>
                <w:szCs w:val="16"/>
              </w:rPr>
              <w:t>人扣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危险性较大分部分项工程施工时无专职安全生产管理人员现场监督并形成书面记录的，或者进行爆破、吊装等危险作业，未安排专门管理人员进行现场安全管理的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主要负责人、项目负责人、专职安全生产管理人员未按照规定进行考核或者考核不合格的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特种作业人员未按照规定经专门的安全作业培训并取得特种作业操作资格证书，上岗作业的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每人次扣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未按照规定对从业人员、被派遣劳动者、实习学生进行安全生产教育和培训，或者未按照规定如实告知从业人员有关的安全生产事项的，或者未如实记录安全生产教育和培训情况的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未教育或未记录的每人每次扣</w:t>
            </w:r>
            <w:r>
              <w:rPr>
                <w:rFonts w:ascii="宋体" w:hAnsi="宋体"/>
                <w:sz w:val="16"/>
                <w:szCs w:val="16"/>
              </w:rPr>
              <w:t>1</w:t>
            </w:r>
            <w:r>
              <w:rPr>
                <w:rFonts w:hint="eastAsia" w:ascii="宋体" w:hAnsi="宋体"/>
                <w:sz w:val="16"/>
                <w:szCs w:val="16"/>
              </w:rPr>
              <w:t>分，记录造假的每人每次扣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未将事故隐患排查治理情况如实记录或者未向从业人员通报的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未按照规定制定生产安全事故应急救援预案或者未按规定定期组织演练的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不依照有关法律、法规规定保证安全生产所必需的资金投入，或者挪用安全生产作业环境及安全施工措施费，致使生产经营单位不具备安全生产条件的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《建设工程安全生产管理条例》第二十一条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施工企业未按规定对工程项目施工现场安全生产情况每月至少进行一次检查、工程项目部每周至少进行一次检查，对检查发现的安全隐患进行跟踪整改合格，并形成书面记录的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次，公司级的扣</w:t>
            </w:r>
            <w:r>
              <w:rPr>
                <w:rFonts w:ascii="宋体" w:hAnsi="宋体"/>
                <w:sz w:val="16"/>
                <w:szCs w:val="16"/>
              </w:rPr>
              <w:t>3</w:t>
            </w:r>
            <w:r>
              <w:rPr>
                <w:rFonts w:hint="eastAsia" w:ascii="宋体" w:hAnsi="宋体"/>
                <w:sz w:val="16"/>
                <w:szCs w:val="16"/>
              </w:rPr>
              <w:t>分、项目部级的扣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《广东省安全生产条例》第十四条、第十五条</w:t>
            </w:r>
          </w:p>
          <w:p>
            <w:pPr>
              <w:spacing w:line="250" w:lineRule="exact"/>
              <w:ind w:left="-42" w:leftChars="-20" w:right="-42" w:rightChars="-20"/>
              <w:rPr>
                <w:rFonts w:ascii="宋体" w:hAnsi="宋体"/>
                <w:sz w:val="16"/>
                <w:szCs w:val="16"/>
              </w:rPr>
            </w:pPr>
            <w:r>
              <w:rPr>
                <w:rFonts w:hint="eastAsia" w:ascii="宋体" w:hAnsi="宋体"/>
                <w:sz w:val="16"/>
                <w:szCs w:val="16"/>
              </w:rPr>
              <w:t>《施工企业安全生产管理规范》（</w:t>
            </w:r>
            <w:r>
              <w:rPr>
                <w:rFonts w:ascii="宋体" w:hAnsi="宋体"/>
                <w:sz w:val="16"/>
                <w:szCs w:val="16"/>
              </w:rPr>
              <w:t>GB50656-</w:t>
            </w:r>
          </w:p>
          <w:p>
            <w:pPr>
              <w:spacing w:line="250" w:lineRule="exact"/>
              <w:ind w:left="-42" w:leftChars="-20" w:right="-42" w:rightChars="-20"/>
              <w:rPr>
                <w:rFonts w:ascii="宋体" w:hAnsi="宋体"/>
                <w:sz w:val="16"/>
                <w:szCs w:val="16"/>
              </w:rPr>
            </w:pPr>
            <w:r>
              <w:rPr>
                <w:rFonts w:ascii="宋体" w:hAnsi="宋体"/>
                <w:sz w:val="16"/>
                <w:szCs w:val="16"/>
              </w:rPr>
              <w:t>2011</w:t>
            </w:r>
            <w:r>
              <w:rPr>
                <w:rFonts w:hint="eastAsia" w:ascii="宋体" w:hAnsi="宋体"/>
                <w:sz w:val="16"/>
                <w:szCs w:val="16"/>
              </w:rPr>
              <w:t>）第</w:t>
            </w:r>
            <w:r>
              <w:rPr>
                <w:rFonts w:ascii="宋体" w:hAnsi="宋体"/>
                <w:sz w:val="16"/>
                <w:szCs w:val="16"/>
              </w:rPr>
              <w:t>15.0.3</w:t>
            </w:r>
            <w:r>
              <w:rPr>
                <w:rFonts w:hint="eastAsia" w:ascii="宋体" w:hAnsi="宋体"/>
                <w:sz w:val="16"/>
                <w:szCs w:val="1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未按规定开展企业安全生产标准化建设的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《国务院安全生产委员会关于加强企业安全生产诚信体系建设的指导意见》（安委〔</w:t>
            </w:r>
            <w:r>
              <w:rPr>
                <w:rFonts w:ascii="宋体" w:hAnsi="宋体"/>
                <w:sz w:val="16"/>
                <w:szCs w:val="16"/>
              </w:rPr>
              <w:t>201</w:t>
            </w:r>
            <w:r>
              <w:rPr>
                <w:rFonts w:hint="eastAsia" w:ascii="宋体" w:hAnsi="宋体"/>
                <w:sz w:val="16"/>
                <w:szCs w:val="16"/>
              </w:rPr>
              <w:t>4〕</w:t>
            </w:r>
            <w:r>
              <w:rPr>
                <w:rFonts w:ascii="宋体" w:hAnsi="宋体"/>
                <w:sz w:val="16"/>
                <w:szCs w:val="16"/>
              </w:rPr>
              <w:t>8</w:t>
            </w:r>
            <w:r>
              <w:rPr>
                <w:rFonts w:hint="eastAsia" w:ascii="宋体" w:hAnsi="宋体"/>
                <w:sz w:val="16"/>
                <w:szCs w:val="16"/>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在施工现场的以下危险部位（包括但不限于）设置明显的安全警示标志或者设置的安全警示标志不符合要求的：①施工现场入口处、②施工起重机械、③临时用电设施、④脚手架、⑤出入通道口、楼梯口、电梯井口、孔洞口、桥梁口、隧道口、⑥基坑边沿、⑦爆破物及有害危险气体和液体存放处等危险部位</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未设置的，每项每次扣</w:t>
            </w:r>
            <w:r>
              <w:rPr>
                <w:rFonts w:ascii="宋体" w:hAnsi="宋体"/>
                <w:sz w:val="16"/>
                <w:szCs w:val="16"/>
              </w:rPr>
              <w:t>3</w:t>
            </w:r>
            <w:r>
              <w:rPr>
                <w:rFonts w:hint="eastAsia" w:ascii="宋体" w:hAnsi="宋体"/>
                <w:sz w:val="16"/>
                <w:szCs w:val="16"/>
              </w:rPr>
              <w:t>分；有设置但不符合要求的，每项每次扣</w:t>
            </w:r>
            <w:r>
              <w:rPr>
                <w:rFonts w:ascii="宋体" w:hAnsi="宋体"/>
                <w:sz w:val="16"/>
                <w:szCs w:val="16"/>
              </w:rPr>
              <w:t>1</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 第二十八条、第六十二条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安全设备（包括但不限于：①施工起重机械、②临时用电设施、③脚手架、④安全通道、⑤安全护栏、⑥防坠落设施、⑦吊篮、⑧施工机具等）的安装或使用或检测或改造或报废不符合国家标准或者行业标准的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未对安全设备进行经常性维护、保养和定期检测的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未为从业人员提供符合国家标准或者行业标准的劳动防护用品的，或者从业人员存在未按规定使用劳保用品的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未按规定提供或使用的，每人次扣</w:t>
            </w:r>
            <w:r>
              <w:rPr>
                <w:rFonts w:ascii="宋体" w:hAnsi="宋体"/>
                <w:sz w:val="16"/>
                <w:szCs w:val="16"/>
              </w:rPr>
              <w:t>1</w:t>
            </w:r>
            <w:r>
              <w:rPr>
                <w:rFonts w:hint="eastAsia" w:ascii="宋体" w:hAnsi="宋体"/>
                <w:sz w:val="16"/>
                <w:szCs w:val="16"/>
              </w:rPr>
              <w:t>分；检测（查）不合格的，每组扣5分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特种设备以及危险物品的容器、运输工具未经取得专业资质的机构检测、检验合格，并取得安全使用证或者安全标志，即投入使用的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使用应当淘汰的危及生产安全的工艺、设备的，或者未按规定对施工现场所使用的机械设备（包括但不限于泥头车、混凝土运输车辆等）进行管理的，或者所使用(租赁)的机械设备（包括但不限于泥头车、混凝土运输车辆等）不符合相关规定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p>
            <w:pPr>
              <w:spacing w:line="250" w:lineRule="exact"/>
              <w:ind w:left="-42" w:leftChars="-20" w:right="-42" w:rightChars="-20"/>
              <w:rPr>
                <w:rFonts w:ascii="宋体" w:hAnsi="宋体"/>
                <w:sz w:val="16"/>
                <w:szCs w:val="16"/>
              </w:rPr>
            </w:pPr>
            <w:r>
              <w:rPr>
                <w:rFonts w:hint="eastAsia" w:ascii="宋体" w:hAnsi="宋体"/>
                <w:sz w:val="16"/>
                <w:szCs w:val="16"/>
              </w:rPr>
              <w:t>《深圳市泥头车、搅拌车和非道路移动工程机械更新改造工作方案》（深建废管〔2018〕23号）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生产、经营、储存、使用危险物品，未建立专门安全管理制度、未采取可靠的安全措施或者不接受有关主管部门依法实施的监督管理的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未按规定建立事故隐患排查治理制度的，或者对重大危险源未登记建档，或者未进行评估、监控，或者未制定应急预案的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生产、经营、储存、使用危险物品的车间、商店、仓库与员工宿舍在同一座建筑内；或者与员工宿舍的距离不符合安全要求</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《安全生产法》第一百零二条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施工场所和员工宿舍未设有符合紧急疏散需要、标志明显、保持畅通的出口，或者封闭、堵塞施工场所或者员工宿舍出口的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与从业人员订立协议，免除或者减轻其对从业人员因生产安全事故伤亡依法应承担的责任的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未按照国家有关规定在施工现场设置消防通道、消防水源、配备消防设施和灭火器材的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未按照规定对施工起重机械、整体提升脚手架、模板等自升式架设设施进行合格验收并登记即投入使用；</w:t>
            </w:r>
          </w:p>
          <w:p>
            <w:pPr>
              <w:spacing w:line="250" w:lineRule="exact"/>
              <w:ind w:left="-42" w:leftChars="-20" w:right="-42" w:rightChars="-20"/>
              <w:rPr>
                <w:rFonts w:ascii="宋体" w:hAnsi="宋体"/>
                <w:sz w:val="16"/>
                <w:szCs w:val="16"/>
              </w:rPr>
            </w:pPr>
            <w:r>
              <w:rPr>
                <w:rFonts w:hint="eastAsia" w:ascii="宋体" w:hAnsi="宋体"/>
                <w:sz w:val="16"/>
                <w:szCs w:val="16"/>
              </w:rPr>
              <w:t>安全防护用具、机械设备、施工机具及配件在进入施工现场前未经查验或者查验不合格即投入使用的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施工前，未按规定对有关安全施工的技术要求进行交底说明并形成记录的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未根据不同施工阶段和周围环境及季节、气候的变化，在施工现场采取相应的安全施工措施，或者未按规定在施工现场实行“五牌一图”等文明施工措施的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每有1处不符合要求的扣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未按规定在施工现场实行“6个100%”工地扬尘污染防治措施的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每有1个措施不按要求落实的扣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承包人与建设单位签订的施工承包合同</w:t>
            </w:r>
          </w:p>
          <w:p>
            <w:pPr>
              <w:spacing w:line="250" w:lineRule="exact"/>
              <w:ind w:left="-42" w:leftChars="-20" w:right="-42" w:rightChars="-20"/>
              <w:rPr>
                <w:rFonts w:ascii="宋体" w:hAnsi="宋体"/>
                <w:sz w:val="16"/>
                <w:szCs w:val="16"/>
              </w:rPr>
            </w:pPr>
            <w:r>
              <w:rPr>
                <w:rFonts w:hint="eastAsia" w:ascii="宋体" w:hAnsi="宋体"/>
                <w:sz w:val="16"/>
                <w:szCs w:val="16"/>
              </w:rPr>
              <w:t>《关于加强建设工程安全文明施工标准化管理的若干规定》（深建规〔2018〕5号）等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在尚未竣工的建筑物内设置员工集体宿舍的，或者施工现场临时搭建的建筑物不符合安全使用要求的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未按规定对因建设工程施工可能造成损害的毗邻建筑物或构筑物或地下管线等采取专项防护措施的，或者因未严格执行操作规程、规定，造成毗邻建筑物或构筑物或地下管线等设施破坏的（造成事故的情形除外）</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未按规定对分包单位进行安全生产管理的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委托不具有相应资质的单位承担施工现场安装、拆卸施工起重机械和整体提升脚手架、模板等自升式架设设施的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在生产建设过程中造成水土流失危害或存在水土流失隐患不进行治理的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《水土保持法》第三十二条、《广东省水土保持条例》第二十八条和第四十二条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项目经理的任命（含变更）不符合相关规定，或者项目经理未按规定到岗履职（含参加工程验收），或者安排任职项目数量已达到规定限额的项目经理在其他项目任职的，或者存在冒名顶替（含违规代签字）行为的（注：市场主体在项目负责人任命或变更时提供不真实材料的，按提供虚假材料信息处理，不适用本条款）</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未到岗或任命不符合要求的每次扣5分，冒名顶替行为的每次扣10分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《注册建造师管理规定》（建设部令第</w:t>
            </w:r>
            <w:r>
              <w:rPr>
                <w:rFonts w:ascii="宋体" w:hAnsi="宋体"/>
                <w:sz w:val="16"/>
                <w:szCs w:val="16"/>
              </w:rPr>
              <w:t>153</w:t>
            </w:r>
            <w:r>
              <w:rPr>
                <w:rFonts w:hint="eastAsia" w:ascii="宋体" w:hAnsi="宋体"/>
                <w:sz w:val="16"/>
                <w:szCs w:val="16"/>
              </w:rPr>
              <w:t>号）</w:t>
            </w:r>
          </w:p>
          <w:p>
            <w:pPr>
              <w:spacing w:line="250" w:lineRule="exact"/>
              <w:ind w:left="-42" w:leftChars="-20" w:right="-42" w:rightChars="-20"/>
              <w:rPr>
                <w:rFonts w:ascii="宋体" w:hAnsi="宋体"/>
                <w:sz w:val="16"/>
                <w:szCs w:val="16"/>
              </w:rPr>
            </w:pPr>
            <w:r>
              <w:rPr>
                <w:rFonts w:hint="eastAsia" w:ascii="宋体" w:hAnsi="宋体"/>
                <w:sz w:val="16"/>
                <w:szCs w:val="16"/>
              </w:rPr>
              <w:t>承包人与建设单位签订的施工承包合同</w:t>
            </w:r>
          </w:p>
          <w:p>
            <w:pPr>
              <w:spacing w:line="250" w:lineRule="exact"/>
              <w:ind w:left="-42" w:leftChars="-20" w:right="-42" w:rightChars="-20"/>
              <w:rPr>
                <w:rFonts w:ascii="宋体" w:hAnsi="宋体"/>
                <w:sz w:val="16"/>
                <w:szCs w:val="16"/>
              </w:rPr>
            </w:pPr>
            <w:r>
              <w:rPr>
                <w:rFonts w:hint="eastAsia" w:ascii="宋体" w:hAnsi="宋体"/>
                <w:sz w:val="16"/>
                <w:szCs w:val="16"/>
              </w:rPr>
              <w:t>《深圳市人民政府印发关于建设工程招标投标改革的若干规定的通知》（深府〔</w:t>
            </w:r>
            <w:r>
              <w:rPr>
                <w:rFonts w:ascii="宋体" w:hAnsi="宋体"/>
                <w:sz w:val="16"/>
                <w:szCs w:val="16"/>
              </w:rPr>
              <w:t>201</w:t>
            </w:r>
            <w:r>
              <w:rPr>
                <w:rFonts w:hint="eastAsia" w:ascii="宋体" w:hAnsi="宋体"/>
                <w:sz w:val="16"/>
                <w:szCs w:val="16"/>
              </w:rPr>
              <w:t>5〕</w:t>
            </w:r>
            <w:r>
              <w:rPr>
                <w:rFonts w:ascii="宋体" w:hAnsi="宋体"/>
                <w:sz w:val="16"/>
                <w:szCs w:val="16"/>
              </w:rPr>
              <w:t>73</w:t>
            </w:r>
            <w:r>
              <w:rPr>
                <w:rFonts w:hint="eastAsia" w:ascii="宋体" w:hAnsi="宋体"/>
                <w:sz w:val="16"/>
                <w:szCs w:val="16"/>
              </w:rPr>
              <w:t>号）第二十八条、第五十四条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项目组织机构中的其他成员（包括技术负责人、施工员、质检员、安全员等）未按投标时承诺到岗履职的，或者存在冒名顶替（含违规代签字）行为的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未到岗的每缺1人每次扣1分，冒名顶替的每人每次扣5分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承包人与建设单位签订的施工承包合同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施工单位人、财、物投入不满足施工需要且拒不整改或者整改不到位的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承包人与建设单位签订的施工承包合同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未按规定落实工伤险或者意外险或者工资保证金或者劳务工“两制”管理相关工作的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《建设工程安全生产管理条例》第三十八条</w:t>
            </w:r>
          </w:p>
          <w:p>
            <w:pPr>
              <w:spacing w:line="250" w:lineRule="exact"/>
              <w:ind w:left="-42" w:leftChars="-20" w:right="-42" w:rightChars="-20"/>
              <w:rPr>
                <w:rFonts w:ascii="宋体" w:hAnsi="宋体"/>
                <w:sz w:val="16"/>
                <w:szCs w:val="16"/>
              </w:rPr>
            </w:pPr>
            <w:r>
              <w:rPr>
                <w:rFonts w:hint="eastAsia" w:ascii="宋体" w:hAnsi="宋体"/>
                <w:sz w:val="16"/>
                <w:szCs w:val="16"/>
              </w:rPr>
              <w:t>人力资源社会保障部 交通运输部 水利部 能源局 铁路局 民航局《关于铁路、公路、水运、水利、能源、机场工程建设项目参加工伤保险工作的通知》</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4.施工单位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因欠薪导致所属员工上访或者造成人员死亡的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Merge w:val="continue"/>
            <w:vAlign w:val="center"/>
          </w:tcPr>
          <w:p>
            <w:pPr>
              <w:spacing w:line="250" w:lineRule="exact"/>
              <w:ind w:left="-42" w:leftChars="-20" w:right="-42" w:righ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4.4廉政建设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4.5履约评价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非不可抗力原因，中标人不按照与招标人订立的合同履行义务的其他行为（含不参加或者拖延参加水行政主管部门作出的参加抢险救灾工作的行为）或者有违反《施工企业安全生产管理规范》（</w:t>
            </w:r>
            <w:r>
              <w:rPr>
                <w:rFonts w:ascii="宋体" w:hAnsi="宋体"/>
                <w:sz w:val="16"/>
                <w:szCs w:val="16"/>
              </w:rPr>
              <w:t>GB50656</w:t>
            </w:r>
            <w:r>
              <w:rPr>
                <w:rFonts w:hint="eastAsia" w:ascii="宋体" w:hAnsi="宋体"/>
                <w:sz w:val="16"/>
                <w:szCs w:val="16"/>
              </w:rPr>
              <w:t>）相关规定的其他行为的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承包人与建设单位签订的施工承包合同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4.施工单位</w:t>
            </w: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涂改、伪造、出借、转让工程监理企业资质证书的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《工程监理企业资质管理规定》第二十九条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ind w:left="-42" w:leftChars="-20"/>
              <w:rPr>
                <w:rFonts w:ascii="宋体" w:hAnsi="宋体"/>
                <w:sz w:val="16"/>
                <w:szCs w:val="16"/>
              </w:rPr>
            </w:pPr>
            <w:r>
              <w:rPr>
                <w:rFonts w:hint="eastAsia" w:ascii="宋体" w:hAnsi="宋体"/>
                <w:sz w:val="16"/>
                <w:szCs w:val="16"/>
              </w:rPr>
              <w:t>未在规定期限内办理资质变更手续的</w:t>
            </w:r>
          </w:p>
        </w:tc>
        <w:tc>
          <w:tcPr>
            <w:tcW w:w="1843" w:type="dxa"/>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tcPr>
          <w:p>
            <w:pPr>
              <w:spacing w:line="250" w:lineRule="exact"/>
              <w:ind w:left="-42" w:leftChars="-20"/>
              <w:rPr>
                <w:rFonts w:ascii="宋体" w:hAnsi="宋体"/>
                <w:sz w:val="16"/>
                <w:szCs w:val="16"/>
              </w:rPr>
            </w:pPr>
            <w:r>
              <w:rPr>
                <w:rFonts w:hint="eastAsia"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以串通、欺诈、胁迫、贿赂等不正当竞争手段承揽监理业务的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聘用无相应监理人员资格的人员从事监理业务的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隐瞒有关情况、拒绝提供材料或者提供虚假材料的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将中标项目转让给他人的，或者将中标项目肢解后分别转让给他人的，或者违规将中标项目的部分主体、关键性工作分包给他人的，或者分包人再次分包的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《招标投标法》第五十八条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中标人无正当理由不与招标人订立合同，或者在签订合同时向招标人提出附加条件，或者不按照招标文件要求提交履约保证金</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与招标人订立合同的主要条款与招标文件、中标人的投标文件的内容不一致，或者招标人、中标人订立背离合同实质性内容的协议</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不配合办理开工或监督手续的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与建设单位或施工单位串通，弄虚作假、降低工程质量的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将不合格的建设工程或建筑材料或建筑构配件或设备按照合格签字的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在填写不规范或者弄虚作假或者与实际不符的工程档案资料（含竣工图、结决算或工程款支付资料）上签名，确认其符合规范或者设计要求的，或者无正当理由滞后审签有关工程档案的</w:t>
            </w:r>
          </w:p>
        </w:tc>
        <w:tc>
          <w:tcPr>
            <w:tcW w:w="1843" w:type="dxa"/>
            <w:vAlign w:val="center"/>
          </w:tcPr>
          <w:p>
            <w:pPr>
              <w:spacing w:line="250" w:lineRule="exact"/>
              <w:ind w:right="-42" w:rightChars="-20"/>
              <w:rPr>
                <w:rFonts w:ascii="宋体" w:hAnsi="宋体"/>
                <w:sz w:val="16"/>
                <w:szCs w:val="16"/>
              </w:rPr>
            </w:pPr>
            <w:r>
              <w:rPr>
                <w:rFonts w:hint="eastAsia" w:ascii="宋体" w:hAnsi="宋体"/>
                <w:sz w:val="16"/>
                <w:szCs w:val="16"/>
              </w:rPr>
              <w:t>①危大工程、地基与基础、主体结构、桩、防渗墙、坝体填筑等关键部位、重要隐蔽等工程资料，以及竣工图、结决算或工程款支付资料中审查把关不严的，将不符合要求的资料签字确认符合要求的扣10分；②对其他资料审查把关不严的，将不符合要求的资料签字确认符合要求的扣5分；③无正当理由滞后审签的每次扣3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6.2.12</w:t>
            </w:r>
            <w:r>
              <w:rPr>
                <w:rFonts w:hint="eastAsia" w:ascii="宋体" w:hAnsi="宋体"/>
                <w:sz w:val="16"/>
                <w:szCs w:val="16"/>
              </w:rPr>
              <w:t>项、第</w:t>
            </w:r>
            <w:r>
              <w:rPr>
                <w:rFonts w:ascii="宋体" w:hAnsi="宋体"/>
                <w:sz w:val="16"/>
                <w:szCs w:val="16"/>
              </w:rPr>
              <w:t>6.9.1</w:t>
            </w:r>
            <w:r>
              <w:rPr>
                <w:rFonts w:hint="eastAsia" w:ascii="宋体" w:hAnsi="宋体"/>
                <w:sz w:val="16"/>
                <w:szCs w:val="1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监理人员未按规定对重要隐蔽单元工程（检验批、工序）或者关键部位单元工程（检验批、工序）施工质量进行旁站监理并及时、规范、如实的填写旁站记录的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6.2.10</w:t>
            </w:r>
            <w:r>
              <w:rPr>
                <w:rFonts w:hint="eastAsia" w:ascii="宋体" w:hAnsi="宋体"/>
                <w:sz w:val="16"/>
                <w:szCs w:val="16"/>
              </w:rPr>
              <w:t>项、第</w:t>
            </w:r>
            <w:r>
              <w:rPr>
                <w:rFonts w:ascii="宋体" w:hAnsi="宋体"/>
                <w:sz w:val="16"/>
                <w:szCs w:val="16"/>
              </w:rPr>
              <w:t>6.2.11</w:t>
            </w:r>
            <w:r>
              <w:rPr>
                <w:rFonts w:hint="eastAsia" w:ascii="宋体" w:hAnsi="宋体"/>
                <w:sz w:val="16"/>
                <w:szCs w:val="1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与被监理工程的施工承包单位以及建筑材料、建筑构配件和设备供应单位有隶属关系或者其他利害关系承担该项建设工程的监理业务的</w:t>
            </w:r>
            <w:r>
              <w:rPr>
                <w:rFonts w:hint="eastAsia" w:ascii="宋体" w:hAnsi="宋体"/>
                <w:sz w:val="16"/>
                <w:szCs w:val="16"/>
              </w:rPr>
              <w:tab/>
            </w:r>
            <w:r>
              <w:rPr>
                <w:rFonts w:hint="eastAsia" w:ascii="宋体" w:hAnsi="宋体"/>
                <w:sz w:val="16"/>
                <w:szCs w:val="16"/>
              </w:rPr>
              <w:tab/>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发生工程质量或安全事故隐瞒不报、谎报或者迟报的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《建设工程质量管理条例》第七十条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《水利工程质量事故处理暂行规定》第三十七条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未按有关规定对施工组织设计中的安全技术措施或者专项施工方案进行审查的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未按规定并结合实际编制监理规划、监理实施细则、监理月报、安全监理方案等有关监理工作文件的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5</w:t>
            </w:r>
            <w:r>
              <w:rPr>
                <w:rFonts w:hint="eastAsia" w:ascii="宋体" w:hAnsi="宋体"/>
                <w:sz w:val="16"/>
                <w:szCs w:val="16"/>
              </w:rPr>
              <w:t>章和第</w:t>
            </w:r>
            <w:r>
              <w:rPr>
                <w:rFonts w:ascii="宋体" w:hAnsi="宋体"/>
                <w:sz w:val="16"/>
                <w:szCs w:val="16"/>
              </w:rPr>
              <w:t>6.5</w:t>
            </w:r>
            <w:r>
              <w:rPr>
                <w:rFonts w:hint="eastAsia" w:ascii="宋体" w:hAnsi="宋体"/>
                <w:sz w:val="16"/>
                <w:szCs w:val="16"/>
              </w:rPr>
              <w:t>节</w:t>
            </w:r>
          </w:p>
          <w:p>
            <w:pPr>
              <w:spacing w:line="250" w:lineRule="exact"/>
              <w:ind w:left="-42" w:leftChars="-20" w:right="-42" w:rightChars="-20"/>
              <w:rPr>
                <w:rFonts w:ascii="宋体" w:hAnsi="宋体"/>
                <w:sz w:val="16"/>
                <w:szCs w:val="16"/>
              </w:rPr>
            </w:pPr>
            <w:r>
              <w:rPr>
                <w:rFonts w:hint="eastAsia" w:ascii="宋体" w:hAnsi="宋体"/>
                <w:sz w:val="16"/>
                <w:szCs w:val="16"/>
              </w:rPr>
              <w:t>《建设工程监理规范》（</w:t>
            </w:r>
            <w:r>
              <w:rPr>
                <w:rFonts w:ascii="宋体" w:hAnsi="宋体"/>
                <w:sz w:val="16"/>
                <w:szCs w:val="16"/>
              </w:rPr>
              <w:t>GB50319-2013</w:t>
            </w:r>
            <w:r>
              <w:rPr>
                <w:rFonts w:hint="eastAsia" w:ascii="宋体" w:hAnsi="宋体"/>
                <w:sz w:val="16"/>
                <w:szCs w:val="16"/>
              </w:rPr>
              <w:t>）第3.2、4.1条等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监理企业未按规定对工程项目施工现场安全生产情况每月至少进行一次检查、工程项目监理部每周至少进行一次检查，对检查发现的安全隐患进行跟踪整改合格，并形成书面记录的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次，公司级的扣</w:t>
            </w:r>
            <w:r>
              <w:rPr>
                <w:rFonts w:ascii="宋体" w:hAnsi="宋体"/>
                <w:sz w:val="16"/>
                <w:szCs w:val="16"/>
              </w:rPr>
              <w:t>3</w:t>
            </w:r>
            <w:r>
              <w:rPr>
                <w:rFonts w:hint="eastAsia" w:ascii="宋体" w:hAnsi="宋体"/>
                <w:sz w:val="16"/>
                <w:szCs w:val="16"/>
              </w:rPr>
              <w:t>分、项目部级的扣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63" w:rightChars="-30"/>
              <w:rPr>
                <w:rFonts w:ascii="宋体" w:hAnsi="宋体"/>
                <w:sz w:val="16"/>
                <w:szCs w:val="16"/>
              </w:rPr>
            </w:pPr>
            <w:r>
              <w:rPr>
                <w:rFonts w:hint="eastAsia" w:ascii="宋体" w:hAnsi="宋体"/>
                <w:sz w:val="16"/>
                <w:szCs w:val="16"/>
              </w:rPr>
              <w:t>《广东省安全生产条例》第十四条、第十五条</w:t>
            </w:r>
          </w:p>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6.5</w:t>
            </w:r>
            <w:r>
              <w:rPr>
                <w:rFonts w:hint="eastAsia" w:ascii="宋体" w:hAnsi="宋体"/>
                <w:sz w:val="16"/>
                <w:szCs w:val="16"/>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应当发现而未发现（含水行政主管部门或监督机构或建设单位在检查或验收活动中发现质量、安全问题而监理单位事先未发现的情形）或者发现质量安全隐患未及时要求施工单位进行整改的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对施工单位安全文明施工措施费使用审查把关不严，未发生的安全文明措施仍签字同意支付相应安全文明措施费用的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《建设工程安全生产管理条例》第五十四条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未依照法律、法规和工程建设强制性标准实施监理的（包括施工单位擅自变更或者设计变更手续未完善即擅自进行施工时而未采取有效措施进行制止的）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对设计、施工单位提出的不合理的工程变更未进行审慎审查而附和同意的，或者串通施工单位进行虚假变更的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6.7</w:t>
            </w:r>
            <w:r>
              <w:rPr>
                <w:rFonts w:hint="eastAsia" w:ascii="宋体" w:hAnsi="宋体"/>
                <w:sz w:val="16"/>
                <w:szCs w:val="16"/>
              </w:rPr>
              <w:t>节</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对施工单位、材料供应商以次充好、偷工减料或者不按设计图纸施工等情形监理不到位，不报告、不制止的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《建设工程质量管理条例》第六十七条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对施工中的安全生产监理不到位，未及时发现存在的安全隐患、未制止施工单位不落实安全生产责任制的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《建设工程质量管理条例》第六十七条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对施工单位施工组织不力、人财物投入满足不了施工进度需要的行为监督不到位，不报告、不制止的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违规向施工单位推荐分包队伍、材料设备供应商的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未按照工程建设管理规程规范等相关要求，及时组织分部（分项）、隐蔽工程、危险性较大分部分项工程验收的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SL288-2014</w:t>
            </w:r>
            <w:r>
              <w:rPr>
                <w:rFonts w:hint="eastAsia" w:ascii="宋体" w:hAnsi="宋体"/>
                <w:sz w:val="16"/>
                <w:szCs w:val="16"/>
              </w:rPr>
              <w:t>）第</w:t>
            </w:r>
            <w:r>
              <w:rPr>
                <w:rFonts w:ascii="宋体" w:hAnsi="宋体"/>
                <w:sz w:val="16"/>
                <w:szCs w:val="16"/>
              </w:rPr>
              <w:t>6.5</w:t>
            </w:r>
            <w:r>
              <w:rPr>
                <w:rFonts w:hint="eastAsia" w:ascii="宋体" w:hAnsi="宋体"/>
                <w:sz w:val="16"/>
                <w:szCs w:val="16"/>
              </w:rPr>
              <w:t>节、第</w:t>
            </w:r>
            <w:r>
              <w:rPr>
                <w:rFonts w:ascii="宋体" w:hAnsi="宋体"/>
                <w:sz w:val="16"/>
                <w:szCs w:val="16"/>
              </w:rPr>
              <w:t>6.9</w:t>
            </w:r>
            <w:r>
              <w:rPr>
                <w:rFonts w:hint="eastAsia" w:ascii="宋体" w:hAnsi="宋体"/>
                <w:sz w:val="16"/>
                <w:szCs w:val="16"/>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施工单位拒不整改或者不停止施工，未及时向有关主管部门报告的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《建设工程安全生产管理条例》第五十七条</w:t>
            </w:r>
          </w:p>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不接受水行政主管部门或工程监督机构监督的</w:t>
            </w:r>
            <w:r>
              <w:rPr>
                <w:rFonts w:hint="eastAsia" w:ascii="宋体" w:hAnsi="宋体"/>
                <w:sz w:val="16"/>
                <w:szCs w:val="16"/>
              </w:rPr>
              <w:br w:type="textWrapping"/>
            </w:r>
            <w:r>
              <w:rPr>
                <w:rFonts w:hint="eastAsia" w:ascii="宋体" w:hAnsi="宋体"/>
                <w:sz w:val="16"/>
                <w:szCs w:val="16"/>
              </w:rPr>
              <w:t>（不接受监督的情形包括但不限于以下方面: ①未按水行政主管部门或监督机构要求提供有关工程质量或安全的文件、资料的；②未按水行政主管部门或监督机构要求对工程质量或安全问题进行整改的；③未按水行政主管部门或监督机构要求参加检查或会议活动的）</w:t>
            </w:r>
          </w:p>
        </w:tc>
        <w:tc>
          <w:tcPr>
            <w:tcW w:w="1843" w:type="dxa"/>
            <w:vAlign w:val="center"/>
          </w:tcPr>
          <w:p>
            <w:pPr>
              <w:spacing w:line="250" w:lineRule="exact"/>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《水利工程质量管理规定》第四十三条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《建设工程质量管理条例》第四十三条等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5.监理单位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5.3质量安全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《水利工程质量事故处理暂行规定》第三十二条</w:t>
            </w:r>
          </w:p>
          <w:p>
            <w:pPr>
              <w:spacing w:line="250" w:lineRule="exact"/>
              <w:ind w:left="-42" w:leftChars="-20" w:right="-63" w:rightChars="-3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工作完成后，未按照规定对工程档案资料进行收集、整理、组建并移交建设单位的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利用工作便利与项目法人、被监理单位以及建筑材料、建筑构配件和设备供应单位串通，谋取不正当利益的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利用执</w:t>
            </w:r>
            <w:r>
              <w:rPr>
                <w:rFonts w:ascii="宋体" w:hAnsi="宋体"/>
                <w:sz w:val="16"/>
                <w:szCs w:val="16"/>
              </w:rPr>
              <w:t>（</w:t>
            </w:r>
            <w:r>
              <w:rPr>
                <w:rFonts w:hint="eastAsia" w:ascii="宋体" w:hAnsi="宋体"/>
                <w:sz w:val="16"/>
                <w:szCs w:val="16"/>
              </w:rPr>
              <w:t>从</w:t>
            </w:r>
            <w:r>
              <w:rPr>
                <w:rFonts w:ascii="宋体" w:hAnsi="宋体"/>
                <w:sz w:val="16"/>
                <w:szCs w:val="16"/>
              </w:rPr>
              <w:t>）</w:t>
            </w:r>
            <w:r>
              <w:rPr>
                <w:rFonts w:hint="eastAsia" w:ascii="宋体" w:hAnsi="宋体"/>
                <w:sz w:val="16"/>
                <w:szCs w:val="16"/>
              </w:rPr>
              <w:t>业上的便利，索取或者收受项目法人、被监理单位以及建筑材料、建筑构配件和设备供应单位财物的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非法泄露执</w:t>
            </w:r>
            <w:r>
              <w:rPr>
                <w:rFonts w:ascii="宋体" w:hAnsi="宋体"/>
                <w:sz w:val="16"/>
                <w:szCs w:val="16"/>
              </w:rPr>
              <w:t>（</w:t>
            </w:r>
            <w:r>
              <w:rPr>
                <w:rFonts w:hint="eastAsia" w:ascii="宋体" w:hAnsi="宋体"/>
                <w:sz w:val="16"/>
                <w:szCs w:val="16"/>
              </w:rPr>
              <w:t>从</w:t>
            </w:r>
            <w:r>
              <w:rPr>
                <w:rFonts w:ascii="宋体" w:hAnsi="宋体"/>
                <w:sz w:val="16"/>
                <w:szCs w:val="16"/>
              </w:rPr>
              <w:t>）</w:t>
            </w:r>
            <w:r>
              <w:rPr>
                <w:rFonts w:hint="eastAsia" w:ascii="宋体" w:hAnsi="宋体"/>
                <w:sz w:val="16"/>
                <w:szCs w:val="16"/>
              </w:rPr>
              <w:t>业中应当保守的秘密的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《水利工程建设监理规定》第三十一条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与从业人员订立协议，免除或者减轻其对从业人员因生产安全事故伤亡依法应承担的责任的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每人每次扣</w:t>
            </w:r>
            <w:r>
              <w:rPr>
                <w:rFonts w:ascii="宋体" w:hAnsi="宋体"/>
                <w:sz w:val="16"/>
                <w:szCs w:val="16"/>
              </w:rPr>
              <w:t>1</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项目总监的任命（含变更）不符合相关规定，或者项目总监未按规定到岗履职（含参加或者组织工程验收），或者安排任职项目数量已达到规定限额的项目总监在其他项目任职的，或者存在冒名顶替（含违规代签字）行为的（注：市场主体在项目负责人任命或变更时提供不真实材料的，按提供虚假材料信息处理，不适用本条款）</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未到岗或任命不符合要求的每次扣5分，冒名顶替行为的每次扣10分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w:t>
            </w:r>
            <w:r>
              <w:rPr>
                <w:rFonts w:hint="eastAsia" w:ascii="宋体" w:hAnsi="宋体"/>
                <w:sz w:val="16"/>
                <w:szCs w:val="16"/>
              </w:rPr>
              <w:t>）《建设工程监理规范》（</w:t>
            </w:r>
            <w:r>
              <w:rPr>
                <w:rFonts w:ascii="宋体" w:hAnsi="宋体"/>
                <w:sz w:val="16"/>
                <w:szCs w:val="16"/>
              </w:rPr>
              <w:t>GB/T50319</w:t>
            </w:r>
            <w:r>
              <w:rPr>
                <w:rFonts w:hint="eastAsia" w:ascii="宋体" w:hAnsi="宋体"/>
                <w:sz w:val="16"/>
                <w:szCs w:val="16"/>
              </w:rPr>
              <w:t>）</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p>
            <w:pPr>
              <w:spacing w:line="250" w:lineRule="exact"/>
              <w:ind w:left="-42" w:leftChars="-20" w:right="-42" w:rightChars="-20"/>
              <w:rPr>
                <w:rFonts w:ascii="宋体" w:hAnsi="宋体"/>
                <w:sz w:val="16"/>
                <w:szCs w:val="16"/>
              </w:rPr>
            </w:pPr>
            <w:r>
              <w:rPr>
                <w:rFonts w:hint="eastAsia" w:ascii="宋体" w:hAnsi="宋体"/>
                <w:sz w:val="16"/>
                <w:szCs w:val="16"/>
              </w:rPr>
              <w:t>《深圳市人民政府印发关于建设工程招标投标改革的若干规定的通知》（深府〔</w:t>
            </w:r>
            <w:r>
              <w:rPr>
                <w:rFonts w:ascii="宋体" w:hAnsi="宋体"/>
                <w:sz w:val="16"/>
                <w:szCs w:val="16"/>
              </w:rPr>
              <w:t>201</w:t>
            </w:r>
            <w:r>
              <w:rPr>
                <w:rFonts w:hint="eastAsia" w:ascii="宋体" w:hAnsi="宋体"/>
                <w:sz w:val="16"/>
                <w:szCs w:val="16"/>
              </w:rPr>
              <w:t>5〕</w:t>
            </w:r>
            <w:r>
              <w:rPr>
                <w:rFonts w:ascii="宋体" w:hAnsi="宋体"/>
                <w:sz w:val="16"/>
                <w:szCs w:val="16"/>
              </w:rPr>
              <w:t>73</w:t>
            </w:r>
            <w:r>
              <w:rPr>
                <w:rFonts w:hint="eastAsia" w:ascii="宋体" w:hAnsi="宋体"/>
                <w:sz w:val="16"/>
                <w:szCs w:val="16"/>
              </w:rPr>
              <w:t>号）第二十八条、第五十四条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项目组织机构中的其他成员未按规定到岗履职的，或者存在冒名顶替（含违规代签字）行为的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未到岗的每缺1人扣1分，冒名顶替的每人每次扣5分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监理单位与建设单位签订的监理委托合同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未督促施工单位落实工伤险或者意外险或者工资保证金或者劳务工“两制”管理有关制度的或虽有督促但督促不力导致欠薪事件发生的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《建设工程安全生产管理条例》第三十八条</w:t>
            </w:r>
          </w:p>
          <w:p>
            <w:pPr>
              <w:spacing w:line="250" w:lineRule="exact"/>
              <w:ind w:left="-42" w:leftChars="-20" w:right="-42" w:rightChars="-20"/>
              <w:rPr>
                <w:rFonts w:ascii="宋体" w:hAnsi="宋体"/>
                <w:sz w:val="16"/>
                <w:szCs w:val="16"/>
              </w:rPr>
            </w:pPr>
            <w:r>
              <w:rPr>
                <w:rFonts w:hint="eastAsia" w:ascii="宋体" w:hAnsi="宋体"/>
                <w:sz w:val="16"/>
                <w:szCs w:val="16"/>
              </w:rPr>
              <w:t>人力资源社会保障部 交通运输部 水利部 能源局 铁路局 民航局《关于铁路、公路、水运、水利、能源、机场工程建设项目参加工伤保险工作的通知》</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5.监理单位</w:t>
            </w: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因欠薪导致所属员工上访或者造成人员死亡的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Merge w:val="continue"/>
            <w:vAlign w:val="center"/>
          </w:tcPr>
          <w:p>
            <w:pPr>
              <w:spacing w:line="250" w:lineRule="exact"/>
              <w:ind w:left="-42" w:leftChars="-20" w:right="-42" w:righ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5.监理单位</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5.4廉政建设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5.5履约评价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5.6其他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对施工单位不按照施工合同履行义务而产生的其他违法违规行为，监理单位不及时纠正，不及时报告的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监理单位有违反《水利工程施工监理规范》（</w:t>
            </w:r>
            <w:r>
              <w:rPr>
                <w:rFonts w:ascii="宋体" w:hAnsi="宋体"/>
                <w:sz w:val="16"/>
                <w:szCs w:val="16"/>
              </w:rPr>
              <w:t>SL288</w:t>
            </w:r>
            <w:r>
              <w:rPr>
                <w:rFonts w:hint="eastAsia" w:ascii="宋体" w:hAnsi="宋体"/>
                <w:sz w:val="16"/>
                <w:szCs w:val="16"/>
              </w:rPr>
              <w:t>）、《建设工程监理规范》（</w:t>
            </w:r>
            <w:r>
              <w:rPr>
                <w:rFonts w:ascii="宋体" w:hAnsi="宋体"/>
                <w:sz w:val="16"/>
                <w:szCs w:val="16"/>
              </w:rPr>
              <w:t>GB/T50319</w:t>
            </w:r>
            <w:r>
              <w:rPr>
                <w:rFonts w:hint="eastAsia" w:ascii="宋体" w:hAnsi="宋体"/>
                <w:sz w:val="16"/>
                <w:szCs w:val="16"/>
              </w:rPr>
              <w:t>）其他行为的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《水利工程施工监理规范》（</w:t>
            </w:r>
            <w:r>
              <w:rPr>
                <w:rFonts w:ascii="宋体" w:hAnsi="宋体"/>
                <w:sz w:val="16"/>
                <w:szCs w:val="16"/>
              </w:rPr>
              <w:t>SL288</w:t>
            </w:r>
            <w:r>
              <w:rPr>
                <w:rFonts w:hint="eastAsia" w:ascii="宋体" w:hAnsi="宋体"/>
                <w:sz w:val="16"/>
                <w:szCs w:val="16"/>
              </w:rPr>
              <w:t>）《建设工程监理规范》（</w:t>
            </w:r>
            <w:r>
              <w:rPr>
                <w:rFonts w:ascii="宋体" w:hAnsi="宋体"/>
                <w:sz w:val="16"/>
                <w:szCs w:val="16"/>
              </w:rPr>
              <w:t>GB/T50319</w:t>
            </w:r>
            <w:r>
              <w:rPr>
                <w:rFonts w:hint="eastAsia" w:ascii="宋体" w:hAnsi="宋体"/>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6.招标代理机构</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6.1资质管理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6.2质量安全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泄露应当保密的与招标投标活动有关的情况和资料的，或者与招标人、投标人串通损害国家利益、社会公共利益或者他人合法权益的，或者在所代理的招标项目中投标、代理投标或者向该项目投标人提供咨询的，接受委托编制标底的中介机构参加受托编制标底项目的投标或者为该项目的投标人编制投标文件、提供咨询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《招标投标法实施条例》第六十五条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招标文件编制不符合规范、内容不科学不严谨导致引起歧义、招标延期、后期建管困难的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《工程建设项目施工招标投标办法》第七十三条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《工程建设项目勘察设计招标投标办法》第五十条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资格预审公告或者招标公告中以不合理的条件限制或排斥潜在投标人的；或者招标方案和招标文件含有倾向或者排斥投标人的内容，妨碍或者限制投标人之间公平竞争的（包括但不限于：1.就同一招标项目向潜在投标人或者投标人提供有差别的项目信息；2.设定的资格、技术、商务条件与招标项目的具体特点和实际需要不相适应或者与合同履行无关；3.依法必须进行招标的项目以特定行政区域或者特定行业的业绩、奖项作为加分条件或者中标条件；4.对潜在投标人或者投标人采取不同的资格审查或者评标标准；5.限定或者指定特定的专利、商标、品牌、原产地或者供应商；6.依法必须进行招标的项目非法限定潜在投标人或者投标人的所有制形式或者组织形式；7.以其他不合理条件限制、排斥潜在投标人或者投标人）；或者对潜在投标人实行歧视待遇的；或者强制要求投标人组成联合体共同投标的；或者限制投标人之间竞争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 xml:space="preserve">《招标投标法》第五十一条      </w:t>
            </w:r>
          </w:p>
          <w:p>
            <w:pPr>
              <w:spacing w:line="250" w:lineRule="exact"/>
              <w:ind w:left="-42" w:leftChars="-20" w:right="-42" w:rightChars="-20"/>
              <w:jc w:val="left"/>
              <w:rPr>
                <w:rFonts w:ascii="宋体" w:hAnsi="宋体"/>
                <w:sz w:val="16"/>
                <w:szCs w:val="16"/>
              </w:rPr>
            </w:pPr>
            <w:r>
              <w:rPr>
                <w:rFonts w:hint="eastAsia" w:ascii="宋体" w:hAnsi="宋体"/>
                <w:sz w:val="16"/>
                <w:szCs w:val="16"/>
              </w:rPr>
              <w:t>《招标投标法实施条例》第三十二条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《工程建设项目施工招标投标办法》第七十条</w:t>
            </w:r>
          </w:p>
          <w:p>
            <w:pPr>
              <w:spacing w:line="250" w:lineRule="exact"/>
              <w:ind w:left="-42" w:leftChars="-20" w:right="-42" w:rightChars="-20"/>
              <w:rPr>
                <w:rFonts w:ascii="宋体" w:hAnsi="宋体"/>
                <w:sz w:val="16"/>
                <w:szCs w:val="16"/>
              </w:rPr>
            </w:pPr>
            <w:r>
              <w:rPr>
                <w:rFonts w:hint="eastAsia" w:ascii="宋体" w:hAnsi="宋体"/>
                <w:sz w:val="16"/>
                <w:szCs w:val="16"/>
              </w:rPr>
              <w:t xml:space="preserve">《工程建设项目勘察设计招标投标办法》第五十三条   </w:t>
            </w:r>
          </w:p>
          <w:p>
            <w:pPr>
              <w:spacing w:line="250" w:lineRule="exact"/>
              <w:ind w:left="-42" w:leftChars="-20" w:right="-42" w:rightChars="-20"/>
              <w:rPr>
                <w:rFonts w:ascii="宋体" w:hAnsi="宋体"/>
                <w:sz w:val="16"/>
                <w:szCs w:val="16"/>
              </w:rPr>
            </w:pPr>
            <w:r>
              <w:rPr>
                <w:rFonts w:hint="eastAsia" w:ascii="宋体" w:hAnsi="宋体"/>
                <w:sz w:val="16"/>
                <w:szCs w:val="16"/>
              </w:rPr>
              <w:t>《招标公告和公示信息发布管理办法》第十八条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在两个以上媒介发布的同一招标项目的招标公告的内容不一致的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《招标公告发布暂行办法》第六十条</w:t>
            </w:r>
          </w:p>
          <w:p>
            <w:pPr>
              <w:spacing w:line="250" w:lineRule="exact"/>
              <w:ind w:left="-42" w:leftChars="-20" w:right="-42" w:rightChars="-20"/>
              <w:rPr>
                <w:rFonts w:ascii="宋体" w:hAnsi="宋体"/>
                <w:sz w:val="16"/>
                <w:szCs w:val="16"/>
              </w:rPr>
            </w:pPr>
            <w:r>
              <w:rPr>
                <w:rFonts w:hint="eastAsia" w:ascii="宋体" w:hAnsi="宋体"/>
                <w:sz w:val="16"/>
                <w:szCs w:val="16"/>
              </w:rPr>
              <w:t>《招标投标法》第四十九条</w:t>
            </w:r>
          </w:p>
          <w:p>
            <w:pPr>
              <w:spacing w:line="250" w:lineRule="exact"/>
              <w:ind w:left="-42" w:leftChars="-20" w:right="-42" w:rightChars="-20"/>
              <w:rPr>
                <w:rFonts w:ascii="宋体" w:hAnsi="宋体"/>
                <w:sz w:val="16"/>
                <w:szCs w:val="16"/>
              </w:rPr>
            </w:pPr>
            <w:r>
              <w:rPr>
                <w:rFonts w:hint="eastAsia" w:ascii="宋体" w:hAnsi="宋体"/>
                <w:sz w:val="16"/>
                <w:szCs w:val="16"/>
              </w:rPr>
              <w:t>《招标投标法》第五十一条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招标公告中合格投标人条件设置违反相关法律、法规和规章等相关规定的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《招标公告发布暂行办法》第六十条</w:t>
            </w:r>
          </w:p>
          <w:p>
            <w:pPr>
              <w:spacing w:line="250" w:lineRule="exact"/>
              <w:ind w:left="-42" w:leftChars="-20" w:right="-42" w:rightChars="-20"/>
              <w:rPr>
                <w:rFonts w:ascii="宋体" w:hAnsi="宋体"/>
                <w:sz w:val="16"/>
                <w:szCs w:val="16"/>
              </w:rPr>
            </w:pPr>
            <w:r>
              <w:rPr>
                <w:rFonts w:hint="eastAsia" w:ascii="宋体" w:hAnsi="宋体"/>
                <w:sz w:val="16"/>
                <w:szCs w:val="16"/>
              </w:rPr>
              <w:t>《招标投标法》第四十九条</w:t>
            </w:r>
          </w:p>
          <w:p>
            <w:pPr>
              <w:spacing w:line="250" w:lineRule="exact"/>
              <w:ind w:left="-42" w:leftChars="-20" w:right="-42" w:rightChars="-20"/>
              <w:rPr>
                <w:rFonts w:ascii="宋体" w:hAnsi="宋体"/>
                <w:sz w:val="16"/>
                <w:szCs w:val="16"/>
              </w:rPr>
            </w:pPr>
            <w:r>
              <w:rPr>
                <w:rFonts w:hint="eastAsia" w:ascii="宋体" w:hAnsi="宋体"/>
                <w:sz w:val="16"/>
                <w:szCs w:val="16"/>
              </w:rPr>
              <w:t>《招标投标法》第五十一条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擅自修改经招标人审定的招标方案、招标文件等资料的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不按照招标代理合同约定配合开展招标活动的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6.招标代理机构</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6.3廉政建设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6.4履约评价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6.5其他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未按规定查询市场主体信用信息（含不良行为信息）并向评标定标专家提供的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《深圳市水务建设市场主体不良行为认定及应用管理办法》第二十一条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不按照招标代理合同履行义务的其他行为的（含因违法违规而受到行政处罚）</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7．质量检测单位（含竣工测量、内窥检测、第三方检测单位）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tcPr>
          <w:p>
            <w:pPr>
              <w:spacing w:line="250" w:lineRule="exact"/>
              <w:ind w:left="-42" w:leftChars="-20"/>
              <w:rPr>
                <w:rFonts w:ascii="宋体" w:hAnsi="宋体"/>
                <w:sz w:val="16"/>
                <w:szCs w:val="16"/>
              </w:rPr>
            </w:pPr>
            <w:r>
              <w:rPr>
                <w:rFonts w:hint="eastAsia" w:ascii="宋体" w:hAnsi="宋体"/>
                <w:sz w:val="16"/>
                <w:szCs w:val="16"/>
              </w:rPr>
              <w:t>未在规定期限内办理资质变更手续</w:t>
            </w:r>
          </w:p>
        </w:tc>
        <w:tc>
          <w:tcPr>
            <w:tcW w:w="1843" w:type="dxa"/>
          </w:tcPr>
          <w:p>
            <w:pPr>
              <w:spacing w:line="250" w:lineRule="exact"/>
              <w:ind w:left="-42" w:leftChars="-20" w:right="-42" w:rightChars="-20"/>
              <w:jc w:val="center"/>
              <w:rPr>
                <w:rFonts w:ascii="宋体" w:hAnsi="宋体"/>
                <w:sz w:val="16"/>
                <w:szCs w:val="16"/>
              </w:rPr>
            </w:pPr>
            <w:r>
              <w:rPr>
                <w:rFonts w:hint="eastAsia" w:ascii="宋体" w:hAnsi="宋体"/>
                <w:sz w:val="16"/>
                <w:szCs w:val="16"/>
              </w:rPr>
              <w:t>10</w:t>
            </w:r>
          </w:p>
        </w:tc>
        <w:tc>
          <w:tcPr>
            <w:tcW w:w="4151" w:type="dxa"/>
          </w:tcPr>
          <w:p>
            <w:pPr>
              <w:spacing w:line="250" w:lineRule="exact"/>
              <w:ind w:left="-42" w:leftChars="-20"/>
              <w:rPr>
                <w:rFonts w:ascii="宋体" w:hAnsi="宋体"/>
                <w:sz w:val="16"/>
                <w:szCs w:val="16"/>
              </w:rPr>
            </w:pPr>
            <w:r>
              <w:rPr>
                <w:rFonts w:hint="eastAsia"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申请企业资质时，隐瞒有关真实情况或者提交虚假材料的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《建筑业企业资质管理规定》第三十五条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《招标投标法》第五十三条</w:t>
            </w:r>
            <w:r>
              <w:rPr>
                <w:rFonts w:hint="eastAsia" w:ascii="宋体" w:hAnsi="宋体"/>
                <w:sz w:val="16"/>
                <w:szCs w:val="16"/>
              </w:rPr>
              <w:br w:type="textWrapping"/>
            </w:r>
            <w:r>
              <w:rPr>
                <w:rFonts w:hint="eastAsia" w:ascii="宋体" w:hAnsi="宋体"/>
                <w:sz w:val="16"/>
                <w:szCs w:val="16"/>
              </w:rPr>
              <w:t>《招标投标法实施条例》第三十九条、第四十条、第六十七条</w:t>
            </w:r>
            <w:r>
              <w:rPr>
                <w:rFonts w:hint="eastAsia" w:ascii="宋体" w:hAnsi="宋体"/>
                <w:sz w:val="16"/>
                <w:szCs w:val="16"/>
              </w:rPr>
              <w:br w:type="textWrapping"/>
            </w: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7．质量检测单位（含竣工测量、内窥检测、第三方检测单位）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《招标投标法》第五十四条</w:t>
            </w:r>
            <w:r>
              <w:rPr>
                <w:rFonts w:hint="eastAsia" w:ascii="宋体" w:hAnsi="宋体"/>
                <w:sz w:val="16"/>
                <w:szCs w:val="16"/>
              </w:rPr>
              <w:br w:type="textWrapping"/>
            </w:r>
            <w:r>
              <w:rPr>
                <w:rFonts w:hint="eastAsia" w:ascii="宋体" w:hAnsi="宋体"/>
                <w:sz w:val="16"/>
                <w:szCs w:val="16"/>
              </w:rPr>
              <w:t>《招标投标法实施条例》第四十二条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将中标项目转让给他人，或者将中标项目肢解后分别转让给他人的，或者违规将中标项目的部分主体、关键性工作分包给他人的，或者分包人再次分包的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《招标投标法》第五十八条</w:t>
            </w:r>
            <w:r>
              <w:rPr>
                <w:rFonts w:hint="eastAsia" w:ascii="宋体" w:hAnsi="宋体"/>
                <w:sz w:val="16"/>
                <w:szCs w:val="16"/>
              </w:rPr>
              <w:br w:type="textWrapping"/>
            </w: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中标人无正当理由不与招标人订立合同的，或者在签订合同时向招标人提出附加条件的，或者不按照招标文件要求提交履约保证金的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与招标人订立合同的主要条款与招标文件、中标人的投标文件的内容不一致的，或者招标人、中标人订立背离合同实质性内容的协议的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质量检测单位在检测、测量、监测过程中发现不合格材料、不合格样品、不合格质量、安全隐患等隐瞒不报的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质量检测（测量、监测）报告签发不符合规定的；或不按约定时间出具检测（测量、监测）报告的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未按约定时间派员到工地现场完成检测（测量、检测）试验工作的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5</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r>
              <w:rPr>
                <w:rFonts w:hint="eastAsia" w:ascii="宋体" w:hAnsi="宋体"/>
                <w:sz w:val="16"/>
                <w:szCs w:val="16"/>
              </w:rPr>
              <w:br w:type="textWrapping"/>
            </w:r>
            <w:r>
              <w:rPr>
                <w:rFonts w:hint="eastAsia" w:ascii="宋体" w:hAnsi="宋体"/>
                <w:sz w:val="16"/>
                <w:szCs w:val="16"/>
              </w:rPr>
              <w:t>质量检测单位与委托单位签订的质量检测合同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7．质量检测单位（含竣工测量、内窥检测、第三方检测单位）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伪造检测（测量、监测）数据和结论，出具与实际不符的虚假质量检测（测量、监测）报告（或数据）的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未按照国家和行业等其他相关标准、规范、规定进行检测（测量、监测）的其他行为（伪造检测（测量、监测）数据和报告的情形除外）</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档案资料管理混乱，造成检测数据无法追溯的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《水利工程质量检测管理规定》第二十七条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《水利工程质量事故处理暂行规定》第三十三条</w:t>
            </w:r>
          </w:p>
          <w:p>
            <w:pPr>
              <w:spacing w:line="250" w:lineRule="exact"/>
              <w:ind w:left="-42" w:lef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因欠薪导致所属员工上访或者造成人员死亡的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Merge w:val="continue"/>
            <w:vAlign w:val="center"/>
          </w:tcPr>
          <w:p>
            <w:pPr>
              <w:spacing w:line="250" w:lineRule="exact"/>
              <w:ind w:left="-42" w:lef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7.4廉政建设</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7.5履约评价</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7.6其他</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p>
            <w:pPr>
              <w:spacing w:line="250" w:lineRule="exact"/>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不按照与招标人订立的合同履行义务的其他行为的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8．供货</w:t>
            </w:r>
          </w:p>
          <w:p>
            <w:pPr>
              <w:spacing w:line="250" w:lineRule="exact"/>
              <w:ind w:left="-42" w:leftChars="-20" w:right="-42" w:rightChars="-20"/>
              <w:jc w:val="center"/>
              <w:rPr>
                <w:rFonts w:ascii="宋体" w:hAnsi="宋体"/>
                <w:sz w:val="16"/>
                <w:szCs w:val="16"/>
              </w:rPr>
            </w:pPr>
            <w:r>
              <w:rPr>
                <w:rFonts w:hint="eastAsia" w:ascii="宋体" w:hAnsi="宋体"/>
                <w:sz w:val="16"/>
                <w:szCs w:val="16"/>
              </w:rPr>
              <w:t>（甲供）单位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8.1资质管理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超出资质范围从事生产经营活动的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未取得相应资质（或者许可），擅自承担从事生产经营活动的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8.2招投标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《招标投标法》第五十三条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《招标投标法实施条例》第三十九条、第四十条、第六十七条</w:t>
            </w:r>
          </w:p>
          <w:p>
            <w:pPr>
              <w:spacing w:line="250" w:lineRule="exact"/>
              <w:ind w:left="-42" w:leftChars="-20" w:right="-42" w:rightChars="-20"/>
              <w:rPr>
                <w:rFonts w:ascii="宋体" w:hAnsi="宋体"/>
                <w:sz w:val="16"/>
                <w:szCs w:val="16"/>
              </w:rPr>
            </w:pP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8．供货</w:t>
            </w:r>
          </w:p>
          <w:p>
            <w:pPr>
              <w:spacing w:line="250" w:lineRule="exact"/>
              <w:ind w:right="-42" w:rightChars="-20"/>
              <w:rPr>
                <w:rFonts w:ascii="宋体" w:hAnsi="宋体"/>
                <w:sz w:val="16"/>
                <w:szCs w:val="16"/>
              </w:rPr>
            </w:pPr>
            <w:r>
              <w:rPr>
                <w:rFonts w:hint="eastAsia" w:ascii="宋体" w:hAnsi="宋体"/>
                <w:sz w:val="16"/>
                <w:szCs w:val="16"/>
              </w:rPr>
              <w:t>（甲供）单位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8.2招投标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《招标投标法》第五十四条</w:t>
            </w:r>
          </w:p>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《招标投标法实施条例》第四十二条、第六十八条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《工程建设项目勘察设计招标投标办法》第五十二条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将中标项目转让给他人的，或者将中标项目肢解后分别转让给他人的，或者违规将中标项目的部分主体、关键性工作分包给他人的，或者分包人再次分包的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《招标投标法》第五十八条</w:t>
            </w:r>
          </w:p>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中标人无正当理由不与招标人订立合同，或者在签订合同时向招标人提出附加条件，或者不按照招标文件要求提交履约保证金</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与招标人订立合同的主要条款与招标文件、中标人的投标文件的内容不一致，或者招标人、中标人订立背离合同实质性内容的协议</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以联合体形式投标的，联合体成员又以自己名义单独投标，或者参加其他联合体投同一个标的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ight="-42" w:righ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8.3质量安全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提供货物质量经有关单位验收或者监督抽检（含飞行检测）不合格的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未按规定提供相应的合格证明材料、安装或者使用说明书等文件资料的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未按约定履行货物出厂验收程序的；或未按时报送质量验收合格报告的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未按合同约定时间提供货物的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《水利工程质量事故处理暂行规定》第三十五条</w:t>
            </w:r>
          </w:p>
          <w:p>
            <w:pPr>
              <w:spacing w:line="250" w:lineRule="exact"/>
              <w:ind w:left="-42" w:lef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8．供货</w:t>
            </w:r>
          </w:p>
          <w:p>
            <w:pPr>
              <w:spacing w:line="250" w:lineRule="exact"/>
              <w:ind w:left="-42" w:leftChars="-20" w:right="-42" w:rightChars="-20"/>
              <w:jc w:val="center"/>
              <w:rPr>
                <w:rFonts w:ascii="宋体" w:hAnsi="宋体"/>
                <w:sz w:val="16"/>
                <w:szCs w:val="16"/>
              </w:rPr>
            </w:pPr>
            <w:r>
              <w:rPr>
                <w:rFonts w:hint="eastAsia" w:ascii="宋体" w:hAnsi="宋体"/>
                <w:sz w:val="16"/>
                <w:szCs w:val="16"/>
              </w:rPr>
              <w:t>（甲供）单位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8.3质量安全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未按照招标投标文件要求配合安装提供售后服务或服务质量不佳、态度差、响应慢，不能及时满足用户的合理要求或未按承诺响应售后服务的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在售后服务中故意抬高维修配件价格（高于市场平均售价）或交货时对使用人员应培训不培训的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《招标投标法》第六十条</w:t>
            </w:r>
            <w:r>
              <w:rPr>
                <w:rFonts w:ascii="宋体" w:hAnsi="宋体"/>
                <w:sz w:val="16"/>
                <w:szCs w:val="16"/>
              </w:rPr>
              <w:br w:type="textWrapping"/>
            </w:r>
            <w:r>
              <w:rPr>
                <w:rFonts w:ascii="宋体" w:hAnsi="宋体"/>
                <w:sz w:val="16"/>
                <w:szCs w:val="16"/>
              </w:rPr>
              <w:t>供货单位与建设单位签订的供货合同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供应商发生经营状况重大变化以及重要担保、重大合同纠纷或诉讼、信用等级和资质变化等可能影响履约能力的重大事项，未能及时向项目法人提供书面报告，造成项目法人损失的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《招标投标法》第六十条</w:t>
            </w:r>
            <w:r>
              <w:rPr>
                <w:rFonts w:ascii="宋体" w:hAnsi="宋体"/>
                <w:sz w:val="16"/>
                <w:szCs w:val="16"/>
              </w:rPr>
              <w:br w:type="textWrapping"/>
            </w:r>
            <w:r>
              <w:rPr>
                <w:rFonts w:ascii="宋体" w:hAnsi="宋体"/>
                <w:sz w:val="16"/>
                <w:szCs w:val="16"/>
              </w:rPr>
              <w:t>供货单位与建设单位签订的供货合同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8.4廉政建设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8.5履约评价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8.6其他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非不可抗力原因，不按照与招标人订立的合同履行义务的其他行为</w:t>
            </w:r>
          </w:p>
        </w:tc>
        <w:tc>
          <w:tcPr>
            <w:tcW w:w="1843" w:type="dxa"/>
            <w:vAlign w:val="center"/>
          </w:tcPr>
          <w:p>
            <w:pPr>
              <w:spacing w:line="250" w:lineRule="exact"/>
              <w:ind w:left="-42" w:leftChars="-20" w:right="-42" w:rightChars="-20" w:firstLine="160" w:firstLineChars="100"/>
              <w:jc w:val="center"/>
              <w:rPr>
                <w:rFonts w:ascii="宋体" w:hAnsi="宋体"/>
                <w:sz w:val="16"/>
                <w:szCs w:val="16"/>
              </w:rPr>
            </w:pPr>
            <w:r>
              <w:rPr>
                <w:rFonts w:hint="eastAsia" w:ascii="宋体" w:hAnsi="宋体"/>
                <w:sz w:val="16"/>
                <w:szCs w:val="16"/>
              </w:rPr>
              <w:t>每项次扣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9.造价咨询单位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9.1资质管理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超出资质范围从事生产经营活动的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p>
            <w:pPr>
              <w:spacing w:line="250" w:lineRule="exact"/>
              <w:ind w:left="-42" w:leftChars="-20" w:right="-63" w:rightChars="-30"/>
              <w:rPr>
                <w:rFonts w:ascii="宋体" w:hAnsi="宋体"/>
                <w:sz w:val="16"/>
                <w:szCs w:val="16"/>
              </w:rPr>
            </w:pPr>
            <w:r>
              <w:rPr>
                <w:rFonts w:hint="eastAsia" w:ascii="宋体" w:hAnsi="宋体"/>
                <w:sz w:val="16"/>
                <w:szCs w:val="16"/>
              </w:rPr>
              <w:t>《深圳市建设工程造价管理规定》第三十六条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未取得相应资质（或者许可），擅自承担从事生产经营活动的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以欺骗手段取得资质证书承揽工程的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允许其他单位或者个人以本单位名义承揽工程的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未在规定期限内办理资质变更手续的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《建筑业企业资质管理规定》第三十八条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9.2招投标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《招标投标法》第五十三条</w:t>
            </w:r>
            <w:r>
              <w:rPr>
                <w:rFonts w:ascii="宋体" w:hAnsi="宋体"/>
                <w:sz w:val="16"/>
                <w:szCs w:val="16"/>
              </w:rPr>
              <w:br w:type="textWrapping"/>
            </w:r>
            <w:r>
              <w:rPr>
                <w:rFonts w:ascii="宋体" w:hAnsi="宋体"/>
                <w:sz w:val="16"/>
                <w:szCs w:val="16"/>
              </w:rPr>
              <w:t>《招标投标法实施条例》第三十九条、第四十条、第六十七条</w:t>
            </w:r>
            <w:r>
              <w:rPr>
                <w:rFonts w:ascii="宋体" w:hAnsi="宋体"/>
                <w:sz w:val="16"/>
                <w:szCs w:val="16"/>
              </w:rPr>
              <w:br w:type="textWrapping"/>
            </w:r>
            <w:r>
              <w:rPr>
                <w:rFonts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9.造价咨询单位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9.2招投标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《招标投标法》第五十四条</w:t>
            </w:r>
            <w:r>
              <w:rPr>
                <w:rFonts w:ascii="宋体" w:hAnsi="宋体"/>
                <w:sz w:val="16"/>
                <w:szCs w:val="16"/>
              </w:rPr>
              <w:br w:type="textWrapping"/>
            </w:r>
            <w:r>
              <w:rPr>
                <w:rFonts w:ascii="宋体" w:hAnsi="宋体"/>
                <w:sz w:val="16"/>
                <w:szCs w:val="16"/>
              </w:rPr>
              <w:t>《招标投标法实施条例》第四十二条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将中标项目转让给他人，或者将中标项目肢解后分别转让给他人的，或者违规将中标项目的部分主体、关键性工作分包给他人的，或者分包人再次分包的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《招标投标法》第五十八条</w:t>
            </w:r>
            <w:r>
              <w:rPr>
                <w:rFonts w:ascii="宋体" w:hAnsi="宋体"/>
                <w:sz w:val="16"/>
                <w:szCs w:val="16"/>
              </w:rPr>
              <w:br w:type="textWrapping"/>
            </w:r>
            <w:r>
              <w:rPr>
                <w:rFonts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中标人无正当理由不与招标人订立合同的，或者在签订合同时向招标人提出附加条件的，或者不按照招标文件要求提交履约保证金的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与招标人订立合同的主要条款与招标文件、中标人的投标文件的内容不一致的，或者招标人、中标人订立背离合同实质性内容的协议的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《招标投标法》第五十九条</w:t>
            </w:r>
            <w:r>
              <w:rPr>
                <w:rFonts w:ascii="宋体" w:hAnsi="宋体"/>
                <w:sz w:val="16"/>
                <w:szCs w:val="16"/>
              </w:rPr>
              <w:br w:type="textWrapping"/>
            </w:r>
            <w:r>
              <w:rPr>
                <w:rFonts w:ascii="宋体" w:hAnsi="宋体"/>
                <w:sz w:val="16"/>
                <w:szCs w:val="16"/>
              </w:rPr>
              <w:t>《招标投标法实施条例》第七十五条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以联合体形式投标，联合体成员未向招标人提交共同投标协议且又以自己名义单独投标；或者参加其他联合体投同一个标</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ascii="宋体" w:hAnsi="宋体"/>
                <w:sz w:val="16"/>
                <w:szCs w:val="16"/>
              </w:rPr>
              <w:t>《招标投标法实施条例》第七十七条</w:t>
            </w:r>
            <w:r>
              <w:rPr>
                <w:rFonts w:ascii="宋体" w:hAnsi="宋体"/>
                <w:sz w:val="16"/>
                <w:szCs w:val="16"/>
              </w:rPr>
              <w:br w:type="textWrapping"/>
            </w:r>
            <w:r>
              <w:rPr>
                <w:rFonts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9.3质量安全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未严格按相关规定认真履职，导致所编制或审核的招标控制价偏差超过</w:t>
            </w:r>
            <w:r>
              <w:rPr>
                <w:rFonts w:ascii="宋体" w:hAnsi="宋体"/>
                <w:sz w:val="16"/>
                <w:szCs w:val="16"/>
              </w:rPr>
              <w:t>5%</w:t>
            </w:r>
            <w:r>
              <w:rPr>
                <w:rFonts w:hint="eastAsia" w:ascii="宋体" w:hAnsi="宋体"/>
                <w:sz w:val="16"/>
                <w:szCs w:val="16"/>
              </w:rPr>
              <w:t>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《深圳市建设工程造价管理规定》第三十六条、第四十一条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未严格按相关规定认真履职，导致所编或审核的结算（决算）被审计部门核减，核减率超</w:t>
            </w:r>
            <w:r>
              <w:rPr>
                <w:rFonts w:ascii="宋体" w:hAnsi="宋体"/>
                <w:sz w:val="16"/>
                <w:szCs w:val="16"/>
              </w:rPr>
              <w:t>5%</w:t>
            </w:r>
            <w:r>
              <w:rPr>
                <w:rFonts w:hint="eastAsia" w:ascii="宋体" w:hAnsi="宋体"/>
                <w:sz w:val="16"/>
                <w:szCs w:val="16"/>
              </w:rPr>
              <w:t>但未超</w:t>
            </w:r>
            <w:r>
              <w:rPr>
                <w:rFonts w:ascii="宋体" w:hAnsi="宋体"/>
                <w:sz w:val="16"/>
                <w:szCs w:val="16"/>
              </w:rPr>
              <w:t>10%</w:t>
            </w:r>
            <w:r>
              <w:rPr>
                <w:rFonts w:hint="eastAsia" w:ascii="宋体" w:hAnsi="宋体"/>
                <w:sz w:val="16"/>
                <w:szCs w:val="16"/>
              </w:rPr>
              <w:t>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《深圳市建设工程造价管理规定》第三十六条、第四十四条、第四十五条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9.造价咨询单位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9.3质量安全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未严格按相关规定认真履职，导致所编制或审核的结算（决算）被审计部门核减，核减率超</w:t>
            </w:r>
            <w:r>
              <w:rPr>
                <w:rFonts w:ascii="宋体" w:hAnsi="宋体"/>
                <w:sz w:val="16"/>
                <w:szCs w:val="16"/>
              </w:rPr>
              <w:t>10%</w:t>
            </w:r>
            <w:r>
              <w:rPr>
                <w:rFonts w:hint="eastAsia" w:ascii="宋体" w:hAnsi="宋体"/>
                <w:sz w:val="16"/>
                <w:szCs w:val="16"/>
              </w:rPr>
              <w:t>及以上的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《深圳市建设工程造价管理规定》第三十六条、第四十四条、第四十五条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与其他单位串通、弄虚作假，导致造价成果失实的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p>
            <w:pPr>
              <w:spacing w:line="250" w:lineRule="exact"/>
              <w:ind w:left="-42" w:leftChars="-20" w:right="-42" w:rightChars="-20"/>
              <w:rPr>
                <w:rFonts w:ascii="宋体" w:hAnsi="宋体"/>
                <w:sz w:val="16"/>
                <w:szCs w:val="16"/>
              </w:rPr>
            </w:pPr>
            <w:r>
              <w:rPr>
                <w:rFonts w:hint="eastAsia" w:ascii="宋体" w:hAnsi="宋体"/>
                <w:sz w:val="16"/>
                <w:szCs w:val="16"/>
              </w:rPr>
              <w:t>《深圳市建设工程造价管理规定》第三十六条、第四十五条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9.4廉政建设</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9.5履约评价</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9.6其他</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非不可抗力，中标人不按照与招标人订立的合同履行义务的其他行为</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10.运管单位</w:t>
            </w:r>
          </w:p>
        </w:tc>
        <w:tc>
          <w:tcPr>
            <w:tcW w:w="567"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10.1资质管理</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超越本单位资质等级承揽工程的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rPr>
                <w:rFonts w:ascii="宋体" w:hAnsi="宋体"/>
                <w:sz w:val="16"/>
                <w:szCs w:val="16"/>
              </w:rPr>
            </w:pPr>
          </w:p>
        </w:tc>
        <w:tc>
          <w:tcPr>
            <w:tcW w:w="567" w:type="dxa"/>
            <w:vMerge w:val="continue"/>
            <w:vAlign w:val="center"/>
          </w:tcPr>
          <w:p>
            <w:pPr>
              <w:spacing w:line="250" w:lineRule="exact"/>
              <w:ind w:left="-42" w:leftChars="-20" w:right="-42" w:rightChars="-20"/>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rPr>
                <w:rFonts w:ascii="宋体" w:hAnsi="宋体"/>
                <w:sz w:val="16"/>
                <w:szCs w:val="16"/>
              </w:rPr>
            </w:pPr>
          </w:p>
        </w:tc>
        <w:tc>
          <w:tcPr>
            <w:tcW w:w="567" w:type="dxa"/>
            <w:vMerge w:val="continue"/>
            <w:vAlign w:val="center"/>
          </w:tcPr>
          <w:p>
            <w:pPr>
              <w:spacing w:line="250" w:lineRule="exact"/>
              <w:ind w:left="-42" w:leftChars="-20" w:right="-42" w:rightChars="-20"/>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以欺骗手段取得资质证书承揽工程的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rPr>
                <w:rFonts w:ascii="宋体" w:hAnsi="宋体"/>
                <w:sz w:val="16"/>
                <w:szCs w:val="16"/>
              </w:rPr>
            </w:pPr>
          </w:p>
        </w:tc>
        <w:tc>
          <w:tcPr>
            <w:tcW w:w="567" w:type="dxa"/>
            <w:vMerge w:val="continue"/>
            <w:vAlign w:val="center"/>
          </w:tcPr>
          <w:p>
            <w:pPr>
              <w:spacing w:line="250" w:lineRule="exact"/>
              <w:ind w:left="-42" w:leftChars="-20" w:right="-42" w:rightChars="-20"/>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允许其他单位或者个人以本单位名义承揽工程的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10.2招投标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相互串通投标的（包括但不限于以下方面：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1.投标人之间协商投标报价等投标文件的实质性内容的；</w:t>
            </w:r>
          </w:p>
          <w:p>
            <w:pPr>
              <w:spacing w:line="250" w:lineRule="exact"/>
              <w:ind w:left="-42" w:leftChars="-20" w:right="-42" w:rightChars="-20"/>
              <w:rPr>
                <w:rFonts w:ascii="宋体" w:hAnsi="宋体"/>
                <w:sz w:val="16"/>
                <w:szCs w:val="16"/>
              </w:rPr>
            </w:pPr>
            <w:r>
              <w:rPr>
                <w:rFonts w:hint="eastAsia" w:ascii="宋体" w:hAnsi="宋体"/>
                <w:sz w:val="16"/>
                <w:szCs w:val="16"/>
              </w:rPr>
              <w:t>2.投标人之间约定中标人的；</w:t>
            </w:r>
          </w:p>
          <w:p>
            <w:pPr>
              <w:spacing w:line="250" w:lineRule="exact"/>
              <w:ind w:left="-42" w:leftChars="-20" w:right="-42" w:rightChars="-20"/>
              <w:rPr>
                <w:rFonts w:ascii="宋体" w:hAnsi="宋体"/>
                <w:sz w:val="16"/>
                <w:szCs w:val="16"/>
              </w:rPr>
            </w:pPr>
            <w:r>
              <w:rPr>
                <w:rFonts w:hint="eastAsia" w:ascii="宋体" w:hAnsi="宋体"/>
                <w:sz w:val="16"/>
                <w:szCs w:val="16"/>
              </w:rPr>
              <w:t>3.投标人之间约定部分投标人放弃投标或者中标的；</w:t>
            </w:r>
          </w:p>
          <w:p>
            <w:pPr>
              <w:spacing w:line="250" w:lineRule="exact"/>
              <w:ind w:left="-42" w:leftChars="-20" w:right="-42" w:rightChars="-20"/>
              <w:rPr>
                <w:rFonts w:ascii="宋体" w:hAnsi="宋体"/>
                <w:sz w:val="16"/>
                <w:szCs w:val="16"/>
              </w:rPr>
            </w:pPr>
            <w:r>
              <w:rPr>
                <w:rFonts w:hint="eastAsia" w:ascii="宋体" w:hAnsi="宋体"/>
                <w:sz w:val="16"/>
                <w:szCs w:val="16"/>
              </w:rPr>
              <w:t>4.属于同一集团、协会、商会等组织成员的投标人按照该组织要求协同投标的；</w:t>
            </w:r>
          </w:p>
          <w:p>
            <w:pPr>
              <w:spacing w:line="250" w:lineRule="exact"/>
              <w:ind w:left="-42" w:leftChars="-20" w:right="-42" w:rightChars="-20"/>
              <w:rPr>
                <w:rFonts w:ascii="宋体" w:hAnsi="宋体"/>
                <w:sz w:val="16"/>
                <w:szCs w:val="16"/>
              </w:rPr>
            </w:pPr>
            <w:r>
              <w:rPr>
                <w:rFonts w:hint="eastAsia" w:ascii="宋体" w:hAnsi="宋体"/>
                <w:sz w:val="16"/>
                <w:szCs w:val="16"/>
              </w:rPr>
              <w:t>5.投标人之间为谋取中标或者排斥特定投标人而采取的其他联合行动的；</w:t>
            </w:r>
          </w:p>
          <w:p>
            <w:pPr>
              <w:spacing w:line="250" w:lineRule="exact"/>
              <w:ind w:left="-42" w:leftChars="-20" w:right="-42" w:rightChars="-20"/>
              <w:rPr>
                <w:rFonts w:ascii="宋体" w:hAnsi="宋体"/>
                <w:sz w:val="16"/>
                <w:szCs w:val="16"/>
              </w:rPr>
            </w:pPr>
            <w:r>
              <w:rPr>
                <w:rFonts w:hint="eastAsia" w:ascii="宋体" w:hAnsi="宋体"/>
                <w:sz w:val="16"/>
                <w:szCs w:val="16"/>
              </w:rPr>
              <w:t>6.不同投标人的投标文件由同一单位或者个人编制的；</w:t>
            </w:r>
          </w:p>
          <w:p>
            <w:pPr>
              <w:spacing w:line="250" w:lineRule="exact"/>
              <w:ind w:left="-42" w:leftChars="-20" w:right="-42" w:rightChars="-20"/>
              <w:rPr>
                <w:rFonts w:ascii="宋体" w:hAnsi="宋体"/>
                <w:sz w:val="16"/>
                <w:szCs w:val="16"/>
              </w:rPr>
            </w:pPr>
            <w:r>
              <w:rPr>
                <w:rFonts w:hint="eastAsia" w:ascii="宋体" w:hAnsi="宋体"/>
                <w:sz w:val="16"/>
                <w:szCs w:val="16"/>
              </w:rPr>
              <w:t>7.不同投标人委托同一单位或者个人办理投标事宜的；</w:t>
            </w:r>
          </w:p>
          <w:p>
            <w:pPr>
              <w:spacing w:line="250" w:lineRule="exact"/>
              <w:ind w:left="-42" w:leftChars="-20" w:right="-42" w:rightChars="-20"/>
              <w:rPr>
                <w:rFonts w:ascii="宋体" w:hAnsi="宋体"/>
                <w:sz w:val="16"/>
                <w:szCs w:val="16"/>
              </w:rPr>
            </w:pPr>
            <w:r>
              <w:rPr>
                <w:rFonts w:hint="eastAsia" w:ascii="宋体" w:hAnsi="宋体"/>
                <w:sz w:val="16"/>
                <w:szCs w:val="16"/>
              </w:rPr>
              <w:t>8.不同投标人的投标文件载明的项目管理成员为同一人的；</w:t>
            </w:r>
          </w:p>
          <w:p>
            <w:pPr>
              <w:spacing w:line="250" w:lineRule="exact"/>
              <w:ind w:left="-42" w:leftChars="-20" w:right="-42" w:rightChars="-20"/>
              <w:rPr>
                <w:rFonts w:ascii="宋体" w:hAnsi="宋体"/>
                <w:sz w:val="16"/>
                <w:szCs w:val="16"/>
              </w:rPr>
            </w:pPr>
            <w:r>
              <w:rPr>
                <w:rFonts w:hint="eastAsia" w:ascii="宋体" w:hAnsi="宋体"/>
                <w:sz w:val="16"/>
                <w:szCs w:val="16"/>
              </w:rPr>
              <w:t>9.不同投标人的投标文件异常一致或者投标报价呈规律性差异的；</w:t>
            </w:r>
          </w:p>
          <w:p>
            <w:pPr>
              <w:spacing w:line="250" w:lineRule="exact"/>
              <w:ind w:left="-42" w:leftChars="-20" w:right="-42" w:rightChars="-20"/>
              <w:rPr>
                <w:rFonts w:ascii="宋体" w:hAnsi="宋体"/>
                <w:sz w:val="16"/>
                <w:szCs w:val="16"/>
              </w:rPr>
            </w:pPr>
            <w:r>
              <w:rPr>
                <w:rFonts w:hint="eastAsia" w:ascii="宋体" w:hAnsi="宋体"/>
                <w:sz w:val="16"/>
                <w:szCs w:val="16"/>
              </w:rPr>
              <w:t>10.不同投标人的投标文件相互混装的；</w:t>
            </w:r>
          </w:p>
          <w:p>
            <w:pPr>
              <w:spacing w:line="250" w:lineRule="exact"/>
              <w:ind w:left="-42" w:leftChars="-20" w:right="-42" w:rightChars="-20"/>
              <w:rPr>
                <w:rFonts w:ascii="宋体" w:hAnsi="宋体"/>
                <w:sz w:val="16"/>
                <w:szCs w:val="16"/>
              </w:rPr>
            </w:pPr>
            <w:r>
              <w:rPr>
                <w:rFonts w:hint="eastAsia" w:ascii="宋体" w:hAnsi="宋体"/>
                <w:sz w:val="16"/>
                <w:szCs w:val="16"/>
              </w:rPr>
              <w:t>11.不同投标人的投标保证金从同一单位或者个人的账户转出的；不同投标人编制的投标文件的实质性内容存在两处以上细节错误一致的；</w:t>
            </w:r>
          </w:p>
          <w:p>
            <w:pPr>
              <w:spacing w:line="250" w:lineRule="exact"/>
              <w:ind w:left="-42" w:leftChars="-20" w:right="-42" w:rightChars="-20"/>
              <w:rPr>
                <w:rFonts w:ascii="宋体" w:hAnsi="宋体"/>
                <w:sz w:val="16"/>
                <w:szCs w:val="16"/>
              </w:rPr>
            </w:pPr>
            <w:r>
              <w:rPr>
                <w:rFonts w:hint="eastAsia" w:ascii="宋体" w:hAnsi="宋体"/>
                <w:sz w:val="16"/>
                <w:szCs w:val="16"/>
              </w:rPr>
              <w:t>12.不同投标人的投标文件由同一电子设备编制、打包加密或者上传的，不同投标人的投标文件由同一投标人的电子设备打印、复印的；</w:t>
            </w:r>
          </w:p>
          <w:p>
            <w:pPr>
              <w:spacing w:line="250" w:lineRule="exact"/>
              <w:ind w:left="-42" w:leftChars="-20" w:right="-42" w:rightChars="-20"/>
              <w:rPr>
                <w:rFonts w:ascii="宋体" w:hAnsi="宋体"/>
                <w:sz w:val="16"/>
                <w:szCs w:val="16"/>
              </w:rPr>
            </w:pPr>
            <w:r>
              <w:rPr>
                <w:rFonts w:hint="eastAsia" w:ascii="宋体" w:hAnsi="宋体"/>
                <w:sz w:val="16"/>
                <w:szCs w:val="16"/>
              </w:rPr>
              <w:t>13.不同投标人的投标文件由同一投标人送达或者分发的；</w:t>
            </w:r>
          </w:p>
          <w:p>
            <w:pPr>
              <w:spacing w:line="250" w:lineRule="exact"/>
              <w:ind w:left="-42" w:leftChars="-20" w:right="-42" w:rightChars="-20"/>
              <w:rPr>
                <w:rFonts w:ascii="宋体" w:hAnsi="宋体"/>
                <w:sz w:val="16"/>
                <w:szCs w:val="16"/>
              </w:rPr>
            </w:pPr>
            <w:r>
              <w:rPr>
                <w:rFonts w:hint="eastAsia" w:ascii="宋体" w:hAnsi="宋体"/>
                <w:sz w:val="16"/>
                <w:szCs w:val="16"/>
              </w:rPr>
              <w:t>14.参加投标活动的人员为同一标段其他投标人的在职人员的；</w:t>
            </w:r>
          </w:p>
          <w:p>
            <w:pPr>
              <w:spacing w:line="250" w:lineRule="exact"/>
              <w:ind w:left="-42" w:leftChars="-20" w:right="-42" w:rightChars="-20"/>
              <w:rPr>
                <w:rFonts w:ascii="宋体" w:hAnsi="宋体"/>
                <w:sz w:val="16"/>
                <w:szCs w:val="16"/>
              </w:rPr>
            </w:pPr>
            <w:r>
              <w:rPr>
                <w:rFonts w:hint="eastAsia" w:ascii="宋体" w:hAnsi="宋体"/>
                <w:sz w:val="16"/>
                <w:szCs w:val="16"/>
              </w:rPr>
              <w:t>15.不同投标人的投标保证金从投标人各自的基本账户转出，但是，所需资金来自同一单位或者个人账户的。），或者以向招标人或者评标委员会成员行贿等不正当手段谋取中标的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《招标投标法》第五十三条</w:t>
            </w:r>
            <w:r>
              <w:rPr>
                <w:rFonts w:hint="eastAsia" w:ascii="宋体" w:hAnsi="宋体"/>
                <w:sz w:val="16"/>
                <w:szCs w:val="16"/>
              </w:rPr>
              <w:br w:type="textWrapping"/>
            </w:r>
            <w:r>
              <w:rPr>
                <w:rFonts w:hint="eastAsia" w:ascii="宋体" w:hAnsi="宋体"/>
                <w:sz w:val="16"/>
                <w:szCs w:val="16"/>
              </w:rPr>
              <w:t>《招标投标法实施条例》第三十九条、第四十条、第六十七条</w:t>
            </w:r>
            <w:r>
              <w:rPr>
                <w:rFonts w:hint="eastAsia" w:ascii="宋体" w:hAnsi="宋体"/>
                <w:sz w:val="16"/>
                <w:szCs w:val="16"/>
              </w:rPr>
              <w:br w:type="textWrapping"/>
            </w:r>
            <w:r>
              <w:rPr>
                <w:rFonts w:hint="eastAsia" w:ascii="宋体" w:hAnsi="宋体"/>
                <w:sz w:val="16"/>
                <w:szCs w:val="16"/>
              </w:rPr>
              <w:t>《广东省实施&lt;中华人民共和国招标投标法&gt;办法》第十六条、第三十三条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10.运管单位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10.2招投标</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以他人名义投标或者以其他方式弄虚作假，骗取中标的（包括但不限于以下方面：</w:t>
            </w:r>
          </w:p>
          <w:p>
            <w:pPr>
              <w:spacing w:line="250" w:lineRule="exact"/>
              <w:ind w:left="-42" w:leftChars="-20" w:right="-42" w:rightChars="-20"/>
              <w:rPr>
                <w:rFonts w:ascii="宋体" w:hAnsi="宋体"/>
                <w:sz w:val="16"/>
                <w:szCs w:val="16"/>
              </w:rPr>
            </w:pPr>
            <w:r>
              <w:rPr>
                <w:rFonts w:hint="eastAsia" w:ascii="宋体" w:hAnsi="宋体"/>
                <w:sz w:val="16"/>
                <w:szCs w:val="16"/>
              </w:rPr>
              <w:t>1.使用伪造、变造的许可证件的；</w:t>
            </w:r>
          </w:p>
          <w:p>
            <w:pPr>
              <w:spacing w:line="250" w:lineRule="exact"/>
              <w:ind w:left="-42" w:leftChars="-20" w:right="-42" w:rightChars="-20"/>
              <w:rPr>
                <w:rFonts w:ascii="宋体" w:hAnsi="宋体"/>
                <w:sz w:val="16"/>
                <w:szCs w:val="16"/>
              </w:rPr>
            </w:pPr>
            <w:r>
              <w:rPr>
                <w:rFonts w:hint="eastAsia" w:ascii="宋体" w:hAnsi="宋体"/>
                <w:sz w:val="16"/>
                <w:szCs w:val="16"/>
              </w:rPr>
              <w:t>2.提供虚假的财务状况或者业绩的；</w:t>
            </w:r>
          </w:p>
          <w:p>
            <w:pPr>
              <w:spacing w:line="250" w:lineRule="exact"/>
              <w:ind w:left="-42" w:leftChars="-20" w:right="-42" w:rightChars="-20"/>
              <w:rPr>
                <w:rFonts w:ascii="宋体" w:hAnsi="宋体"/>
                <w:sz w:val="16"/>
                <w:szCs w:val="16"/>
              </w:rPr>
            </w:pPr>
            <w:r>
              <w:rPr>
                <w:rFonts w:hint="eastAsia" w:ascii="宋体" w:hAnsi="宋体"/>
                <w:sz w:val="16"/>
                <w:szCs w:val="16"/>
              </w:rPr>
              <w:t>3.提供虚假的项目负责人或者主要技术人员简历、劳动关系证明的；</w:t>
            </w:r>
          </w:p>
          <w:p>
            <w:pPr>
              <w:spacing w:line="250" w:lineRule="exact"/>
              <w:ind w:left="-42" w:leftChars="-20" w:right="-42" w:rightChars="-20"/>
              <w:rPr>
                <w:rFonts w:ascii="宋体" w:hAnsi="宋体"/>
                <w:sz w:val="16"/>
                <w:szCs w:val="16"/>
              </w:rPr>
            </w:pPr>
            <w:r>
              <w:rPr>
                <w:rFonts w:hint="eastAsia" w:ascii="宋体" w:hAnsi="宋体"/>
                <w:sz w:val="16"/>
                <w:szCs w:val="16"/>
              </w:rPr>
              <w:t>4.提供虚假的信用状况的；</w:t>
            </w:r>
          </w:p>
          <w:p>
            <w:pPr>
              <w:spacing w:line="250" w:lineRule="exact"/>
              <w:ind w:left="-42" w:leftChars="-20" w:right="-42" w:rightChars="-20"/>
              <w:rPr>
                <w:rFonts w:ascii="宋体" w:hAnsi="宋体"/>
                <w:sz w:val="16"/>
                <w:szCs w:val="16"/>
              </w:rPr>
            </w:pPr>
            <w:r>
              <w:rPr>
                <w:rFonts w:hint="eastAsia" w:ascii="宋体" w:hAnsi="宋体"/>
                <w:sz w:val="16"/>
                <w:szCs w:val="16"/>
              </w:rPr>
              <w:t>5.使用通过受让或者租借等方式获取的资格、资质证书投标的；</w:t>
            </w:r>
          </w:p>
          <w:p>
            <w:pPr>
              <w:spacing w:line="250" w:lineRule="exact"/>
              <w:ind w:left="-42" w:leftChars="-20" w:right="-42" w:rightChars="-20"/>
              <w:rPr>
                <w:rFonts w:ascii="宋体" w:hAnsi="宋体"/>
                <w:sz w:val="16"/>
                <w:szCs w:val="16"/>
              </w:rPr>
            </w:pPr>
            <w:r>
              <w:rPr>
                <w:rFonts w:hint="eastAsia" w:ascii="宋体" w:hAnsi="宋体"/>
                <w:sz w:val="16"/>
                <w:szCs w:val="16"/>
              </w:rPr>
              <w:t>6. 利用伪造、转让、租借、无效的资质证书参加投标的；</w:t>
            </w:r>
          </w:p>
          <w:p>
            <w:pPr>
              <w:spacing w:line="250" w:lineRule="exact"/>
              <w:ind w:left="-42" w:leftChars="-20" w:right="-42" w:rightChars="-20"/>
              <w:rPr>
                <w:rFonts w:ascii="宋体" w:hAnsi="宋体"/>
                <w:sz w:val="16"/>
                <w:szCs w:val="16"/>
              </w:rPr>
            </w:pPr>
            <w:r>
              <w:rPr>
                <w:rFonts w:hint="eastAsia" w:ascii="宋体" w:hAnsi="宋体"/>
                <w:sz w:val="16"/>
                <w:szCs w:val="16"/>
              </w:rPr>
              <w:t>7.请其他单位在自己编制的投标文件上代为签字盖的章；</w:t>
            </w:r>
          </w:p>
          <w:p>
            <w:pPr>
              <w:spacing w:line="250" w:lineRule="exact"/>
              <w:ind w:left="-42" w:leftChars="-20" w:right="-42" w:rightChars="-20"/>
              <w:rPr>
                <w:rFonts w:ascii="宋体" w:hAnsi="宋体"/>
                <w:sz w:val="16"/>
                <w:szCs w:val="16"/>
              </w:rPr>
            </w:pPr>
            <w:r>
              <w:rPr>
                <w:rFonts w:hint="eastAsia" w:ascii="宋体" w:hAnsi="宋体"/>
                <w:sz w:val="16"/>
                <w:szCs w:val="16"/>
              </w:rPr>
              <w:t>8.其他弄虚作假的行为的。）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《招标投标法》第五十四条</w:t>
            </w:r>
            <w:r>
              <w:rPr>
                <w:rFonts w:hint="eastAsia" w:ascii="宋体" w:hAnsi="宋体"/>
                <w:sz w:val="16"/>
                <w:szCs w:val="16"/>
              </w:rPr>
              <w:br w:type="textWrapping"/>
            </w:r>
            <w:r>
              <w:rPr>
                <w:rFonts w:hint="eastAsia" w:ascii="宋体" w:hAnsi="宋体"/>
                <w:sz w:val="16"/>
                <w:szCs w:val="16"/>
              </w:rPr>
              <w:t>《招标投标法实施条例》第四十二条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将中标项目转让给他人，或者将中标项目肢解后分别转让给他人的，或者违规将中标项目的部分主体、关键性工作分包给他人的，或者分包人再次分包的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《招标投标法》第五十八条</w:t>
            </w:r>
            <w:r>
              <w:rPr>
                <w:rFonts w:hint="eastAsia" w:ascii="宋体" w:hAnsi="宋体"/>
                <w:sz w:val="16"/>
                <w:szCs w:val="16"/>
              </w:rPr>
              <w:br w:type="textWrapping"/>
            </w:r>
            <w:r>
              <w:rPr>
                <w:rFonts w:hint="eastAsia" w:ascii="宋体" w:hAnsi="宋体"/>
                <w:sz w:val="16"/>
                <w:szCs w:val="16"/>
              </w:rPr>
              <w:t>《建设工程质量管理条例》第六十二条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中标人无正当理由不与招标人订立合同的，或者在签订合同时向招标人提出附加条件的，或者不按照招标文件要求提交履约保证金的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与招标人订立合同的主要条款与招标文件、中标人的投标文件的内容不一致的，或者招标人、中标人订立背离合同实质性内容的协议的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《招标投标法》第五十九条</w:t>
            </w:r>
            <w:r>
              <w:rPr>
                <w:rFonts w:hint="eastAsia" w:ascii="宋体" w:hAnsi="宋体"/>
                <w:sz w:val="16"/>
                <w:szCs w:val="16"/>
              </w:rPr>
              <w:br w:type="textWrapping"/>
            </w:r>
            <w:r>
              <w:rPr>
                <w:rFonts w:hint="eastAsia" w:ascii="宋体" w:hAnsi="宋体"/>
                <w:sz w:val="16"/>
                <w:szCs w:val="16"/>
              </w:rPr>
              <w:t>《招标投标法实施条例》第七十五条</w:t>
            </w:r>
            <w:r>
              <w:rPr>
                <w:rFonts w:hint="eastAsia" w:ascii="宋体" w:hAnsi="宋体"/>
                <w:sz w:val="16"/>
                <w:szCs w:val="16"/>
              </w:rPr>
              <w:br w:type="textWrapping"/>
            </w:r>
            <w:r>
              <w:rPr>
                <w:rFonts w:hint="eastAsia" w:ascii="宋体" w:hAnsi="宋体"/>
                <w:sz w:val="16"/>
                <w:szCs w:val="16"/>
              </w:rPr>
              <w:t>《工程建设项目勘察设计招标投标办法》第五十五条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非不可抗力，不履行与招标人订立的合同的（给招标人造成较大损失或在社会上造成较大负面影响的）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以联合体形式投标，联合体成员未向招标人提交共同投标协议且又以自己名义单独投标；或者参加其他联合体投同一个标</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《招标投标法实施条例》第三十七条</w:t>
            </w:r>
          </w:p>
          <w:p>
            <w:pPr>
              <w:spacing w:line="250" w:lineRule="exact"/>
              <w:ind w:left="-42" w:leftChars="-20"/>
              <w:rPr>
                <w:rFonts w:ascii="宋体" w:hAnsi="宋体"/>
                <w:sz w:val="16"/>
                <w:szCs w:val="16"/>
              </w:rPr>
            </w:pPr>
            <w:r>
              <w:rPr>
                <w:rFonts w:hint="eastAsia" w:ascii="宋体" w:hAnsi="宋体"/>
                <w:sz w:val="16"/>
                <w:szCs w:val="16"/>
              </w:rPr>
              <w:t>《工程建设项目施工招标投标办法》第四十二条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捏造事实、伪造证明材料或者以非法手段取得证明材料进行投诉，干扰招标工作正常进行的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《招标投标法实施条例》第七十七条</w:t>
            </w:r>
            <w:r>
              <w:rPr>
                <w:rFonts w:hint="eastAsia" w:ascii="宋体" w:hAnsi="宋体"/>
                <w:sz w:val="16"/>
                <w:szCs w:val="16"/>
              </w:rPr>
              <w:br w:type="textWrapping"/>
            </w:r>
            <w:r>
              <w:rPr>
                <w:rFonts w:hint="eastAsia" w:ascii="宋体" w:hAnsi="宋体"/>
                <w:sz w:val="16"/>
                <w:szCs w:val="16"/>
              </w:rPr>
              <w:t>《工程建设项目招标投标活动投诉处理办法》（国家七部委11号令）第二十六条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未按规定完善施工组织设计、与本项目有关的危险性较大分部分项工程施工专项方案并遵照执行的或者方案未经批准擅自施工的（对质量或安全事故负有责任的情形除外）</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个方案或每有1个方案未遵照执行的扣10分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《建设工程安全生产管理条例》第二十六条、第六十五条</w:t>
            </w:r>
          </w:p>
          <w:p>
            <w:pPr>
              <w:spacing w:line="250" w:lineRule="exact"/>
              <w:ind w:left="-42" w:leftChars="-20" w:right="-42" w:rightChars="-20"/>
              <w:rPr>
                <w:rFonts w:ascii="宋体" w:hAnsi="宋体"/>
                <w:sz w:val="16"/>
                <w:szCs w:val="16"/>
              </w:rPr>
            </w:pPr>
            <w:r>
              <w:rPr>
                <w:rFonts w:hint="eastAsia" w:ascii="宋体" w:hAnsi="宋体"/>
                <w:sz w:val="16"/>
                <w:szCs w:val="16"/>
              </w:rPr>
              <w:t>施工单位与建设单位签订的施工承建合同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完善与本项目有关的除施工组织设计、危险性较大分部分项工程施工专项方案之外的其他施工技术方案、专项方案的编制并遵照执行的或者方案未经批准擅自施工的（对质量或安全事故负有责任的情形除外）</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每缺</w:t>
            </w:r>
            <w:r>
              <w:rPr>
                <w:rFonts w:ascii="宋体" w:hAnsi="宋体"/>
                <w:sz w:val="16"/>
                <w:szCs w:val="16"/>
              </w:rPr>
              <w:t>1</w:t>
            </w:r>
            <w:r>
              <w:rPr>
                <w:rFonts w:hint="eastAsia" w:ascii="宋体" w:hAnsi="宋体"/>
                <w:sz w:val="16"/>
                <w:szCs w:val="16"/>
              </w:rPr>
              <w:t>个方案或每有1个方案未遵照执行的扣5分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《建设工程安全生产管理条例》第二十六条、第六十五条</w:t>
            </w:r>
          </w:p>
          <w:p>
            <w:pPr>
              <w:spacing w:line="250" w:lineRule="exact"/>
              <w:ind w:left="-42" w:leftChars="-20" w:right="-42" w:rightChars="-20"/>
              <w:rPr>
                <w:rFonts w:ascii="宋体" w:hAnsi="宋体"/>
                <w:sz w:val="16"/>
                <w:szCs w:val="16"/>
              </w:rPr>
            </w:pPr>
            <w:r>
              <w:rPr>
                <w:rFonts w:hint="eastAsia" w:ascii="宋体" w:hAnsi="宋体"/>
                <w:sz w:val="16"/>
                <w:szCs w:val="16"/>
              </w:rPr>
              <w:t>施工单位与建设单位签订的施工承建合同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10.运管单位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《水利工程质量事故处理暂行规定》第三十四条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发生工程质量或安全事故隐瞒不报、谎报或者迟报的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《建设工程质量管理条例》第七十条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《水利工程质量事故处理暂行规定》第三十七条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未按照建设单位、监理单位、水行政主管部门等有关单位的要求，对其施工存在的问题进行限期整改或者整改后仍不合格的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《深圳市建筑市场严重违法行为特别处理规定》第五条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工作完成后，未按照规定对工程档案资料进行收集、整理、组卷并移交建设单位的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《水利工程质量管理规定》第三十四条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《建设工程文件归档规范》第3章等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工程档案资料（含竣工图、结决算、工程款支付资料）填写不规范或者弄虚作假、伪造记录，与实际不符的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填写不规范的，每次扣3分；弄虚作假、伪造记录的，每次扣10分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《水利工程质量管理规定》第四十四条第（六）项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主要负责人在本单位发生生产安全事故时，不立即组织抢救或者在事故调查处理期间擅离或者逃匿的；主要负责人对生产安全事故隐瞒不报、谎报或者迟报的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未按规定设立安全生产管理机构的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未按规定配备专职安全生产管理人员的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每少</w:t>
            </w:r>
            <w:r>
              <w:rPr>
                <w:rFonts w:ascii="宋体" w:hAnsi="宋体"/>
                <w:sz w:val="16"/>
                <w:szCs w:val="16"/>
              </w:rPr>
              <w:t>1</w:t>
            </w:r>
            <w:r>
              <w:rPr>
                <w:rFonts w:hint="eastAsia" w:ascii="宋体" w:hAnsi="宋体"/>
                <w:sz w:val="16"/>
                <w:szCs w:val="16"/>
              </w:rPr>
              <w:t>人扣</w:t>
            </w:r>
            <w:r>
              <w:rPr>
                <w:rFonts w:ascii="宋体" w:hAnsi="宋体"/>
                <w:sz w:val="16"/>
                <w:szCs w:val="16"/>
              </w:rPr>
              <w:t>2</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特种作业人员未按照规定经专门的安全作业培训并取得特种作业操作资格证书，上岗作业的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每人次扣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未按照规定对从业人员、被派遣劳动者、实习学生进行安全生产教育和培训，或者未按照规定如实告知从业人员有关的安全生产事项的，或者未如实记录安全生产教育和培训情况的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未教育或未记录的每人每次扣</w:t>
            </w:r>
            <w:r>
              <w:rPr>
                <w:rFonts w:ascii="宋体" w:hAnsi="宋体"/>
                <w:sz w:val="16"/>
                <w:szCs w:val="16"/>
              </w:rPr>
              <w:t>1</w:t>
            </w:r>
            <w:r>
              <w:rPr>
                <w:rFonts w:hint="eastAsia" w:ascii="宋体" w:hAnsi="宋体"/>
                <w:sz w:val="16"/>
                <w:szCs w:val="16"/>
              </w:rPr>
              <w:t>分，记录造假的每人每次扣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未将事故隐患排查治理情况如实记录或者未向从业人员通报的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每人每次扣1分</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未按照规定制定生产安全事故应急救援预案或者未按规定定期组织演练的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　</w:t>
            </w:r>
            <w:r>
              <w:rPr>
                <w:rFonts w:hint="eastAsia" w:ascii="宋体" w:hAnsi="宋体"/>
                <w:sz w:val="16"/>
                <w:szCs w:val="16"/>
              </w:rPr>
              <w:t>10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《安全生产法》第九十四条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在施工现场的以下危险部位（包括但不限于）设置明显的安全警示标志或者设置的安全警示标志不符合要求的：①施工现场入口处、②施工起重机械、③临时用电设施、④脚手架、⑤出入通道口、楼梯口、电梯井口、孔洞口、桥梁口、隧道口、⑥基坑边沿、⑦爆破物及有害危险气体和液体存放处等危险部位</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未设置的，每项每次扣</w:t>
            </w:r>
            <w:r>
              <w:rPr>
                <w:rFonts w:ascii="宋体" w:hAnsi="宋体"/>
                <w:sz w:val="16"/>
                <w:szCs w:val="16"/>
              </w:rPr>
              <w:t>3</w:t>
            </w:r>
            <w:r>
              <w:rPr>
                <w:rFonts w:hint="eastAsia" w:ascii="宋体" w:hAnsi="宋体"/>
                <w:sz w:val="16"/>
                <w:szCs w:val="16"/>
              </w:rPr>
              <w:t>分；有设置但不符合要求的，每项每次扣</w:t>
            </w:r>
            <w:r>
              <w:rPr>
                <w:rFonts w:ascii="宋体" w:hAnsi="宋体"/>
                <w:sz w:val="16"/>
                <w:szCs w:val="16"/>
              </w:rPr>
              <w:t>1</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 第二十八条、第六十二条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10.运管单位</w:t>
            </w: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10.3质量安全</w:t>
            </w: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安全设备（包括但不限于：①施工起重机械、②临时用电设施、③脚手架、④安全通道、⑤安全护栏、⑥防坠落设施、⑦吊篮、⑧施工机具等）的安装或使用或检测或改造或报废不符合国家标准或者行业标准的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每项每次扣</w:t>
            </w:r>
            <w:r>
              <w:rPr>
                <w:rFonts w:ascii="宋体" w:hAnsi="宋体"/>
                <w:sz w:val="16"/>
                <w:szCs w:val="16"/>
              </w:rPr>
              <w:t>5</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未对安全设备进行经常性维护、保养和定期检测的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未为从业人员提供符合国家标准或者行业标准的劳动防护用品的，或者从业人员存在未按规定使用劳保用品的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未按规定提供或使用的，每人次扣</w:t>
            </w:r>
            <w:r>
              <w:rPr>
                <w:rFonts w:ascii="宋体" w:hAnsi="宋体"/>
                <w:sz w:val="16"/>
                <w:szCs w:val="16"/>
              </w:rPr>
              <w:t>1</w:t>
            </w:r>
            <w:r>
              <w:rPr>
                <w:rFonts w:hint="eastAsia" w:ascii="宋体" w:hAnsi="宋体"/>
                <w:sz w:val="16"/>
                <w:szCs w:val="16"/>
              </w:rPr>
              <w:t>分；检测（查）不合格的，每组扣5分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特种设备以及危险物品的容器、运输工具未经取得专业资质的机构检测、检验合格，并取得安全使用证或者安全标志，投入使用的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使用应当淘汰的危及生产安全的工艺、设备的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《安全生产法》第九十六条</w:t>
            </w:r>
          </w:p>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与从业人员订立协议，免除或者减轻其对从业人员因生产安全事故伤亡依法应承担的责任的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10</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《安全生产法》第一百零三条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ind w:right="-42" w:rightChars="-20"/>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施工前，未按规定对有关安全施工的技术要求进行交底说明并形成记录的</w:t>
            </w:r>
          </w:p>
        </w:tc>
        <w:tc>
          <w:tcPr>
            <w:tcW w:w="1843" w:type="dxa"/>
            <w:vAlign w:val="center"/>
          </w:tcPr>
          <w:p>
            <w:pPr>
              <w:spacing w:line="250" w:lineRule="exact"/>
              <w:ind w:left="-42" w:leftChars="-20" w:right="-42" w:rightChars="-20"/>
              <w:jc w:val="center"/>
              <w:rPr>
                <w:rFonts w:ascii="宋体" w:hAnsi="宋体"/>
                <w:sz w:val="16"/>
                <w:szCs w:val="16"/>
              </w:rPr>
            </w:pPr>
            <w:r>
              <w:rPr>
                <w:rFonts w:ascii="宋体" w:hAnsi="宋体"/>
                <w:sz w:val="16"/>
                <w:szCs w:val="16"/>
              </w:rPr>
              <w:t>5</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《建设工程安全生产管理条例》第六十四条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发生工程质量或安全事故隐瞒不报、谎报或者迟报的</w:t>
            </w:r>
          </w:p>
        </w:tc>
        <w:tc>
          <w:tcPr>
            <w:tcW w:w="1843"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一般及较大事故扣</w:t>
            </w:r>
            <w:r>
              <w:rPr>
                <w:rFonts w:ascii="宋体" w:hAnsi="宋体"/>
                <w:sz w:val="16"/>
                <w:szCs w:val="16"/>
              </w:rPr>
              <w:t>10</w:t>
            </w:r>
            <w:r>
              <w:rPr>
                <w:rFonts w:hint="eastAsia" w:ascii="宋体" w:hAnsi="宋体"/>
                <w:sz w:val="16"/>
                <w:szCs w:val="16"/>
              </w:rPr>
              <w:t>分，重大事故扣</w:t>
            </w:r>
            <w:r>
              <w:rPr>
                <w:rFonts w:ascii="宋体" w:hAnsi="宋体"/>
                <w:sz w:val="16"/>
                <w:szCs w:val="16"/>
              </w:rPr>
              <w:t>20</w:t>
            </w:r>
            <w:r>
              <w:rPr>
                <w:rFonts w:hint="eastAsia" w:ascii="宋体" w:hAnsi="宋体"/>
                <w:sz w:val="16"/>
                <w:szCs w:val="16"/>
              </w:rPr>
              <w:t>分，特大事故扣</w:t>
            </w:r>
            <w:r>
              <w:rPr>
                <w:rFonts w:ascii="宋体" w:hAnsi="宋体"/>
                <w:sz w:val="16"/>
                <w:szCs w:val="16"/>
              </w:rPr>
              <w:t>40</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《建设工程质量管理条例》第七十条</w:t>
            </w:r>
          </w:p>
          <w:p>
            <w:pPr>
              <w:spacing w:line="250" w:lineRule="exact"/>
              <w:ind w:left="-42" w:leftChars="-20" w:right="-42" w:rightChars="-20"/>
              <w:rPr>
                <w:rFonts w:ascii="宋体" w:hAnsi="宋体"/>
                <w:sz w:val="16"/>
                <w:szCs w:val="16"/>
              </w:rPr>
            </w:pPr>
            <w:r>
              <w:rPr>
                <w:rFonts w:hint="eastAsia" w:ascii="宋体" w:hAnsi="宋体"/>
                <w:sz w:val="16"/>
                <w:szCs w:val="16"/>
              </w:rPr>
              <w:t>《水利工程质量事故处理暂行规定》第三十七条</w:t>
            </w:r>
          </w:p>
          <w:p>
            <w:pPr>
              <w:spacing w:line="250" w:lineRule="exact"/>
              <w:ind w:left="-42" w:leftChars="-20" w:right="-42" w:rightChars="-20"/>
              <w:rPr>
                <w:rFonts w:ascii="宋体" w:hAnsi="宋体"/>
                <w:sz w:val="16"/>
                <w:szCs w:val="16"/>
              </w:rPr>
            </w:pPr>
            <w:r>
              <w:rPr>
                <w:rFonts w:hint="eastAsia" w:ascii="宋体" w:hAnsi="宋体"/>
                <w:sz w:val="16"/>
                <w:szCs w:val="16"/>
              </w:rPr>
              <w:t>《生产安全事故报告和调查处理条例》第四条等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对质量或安全事故负有责任的</w:t>
            </w:r>
          </w:p>
        </w:tc>
        <w:tc>
          <w:tcPr>
            <w:tcW w:w="1843" w:type="dxa"/>
            <w:vAlign w:val="center"/>
          </w:tcPr>
          <w:p>
            <w:pPr>
              <w:spacing w:line="250" w:lineRule="exact"/>
              <w:ind w:left="-42" w:leftChars="-20"/>
              <w:jc w:val="center"/>
              <w:rPr>
                <w:rFonts w:ascii="宋体" w:hAnsi="宋体"/>
                <w:sz w:val="16"/>
                <w:szCs w:val="16"/>
              </w:rPr>
            </w:pPr>
            <w:r>
              <w:rPr>
                <w:rFonts w:ascii="宋体" w:hAnsi="宋体"/>
                <w:sz w:val="16"/>
                <w:szCs w:val="16"/>
              </w:rPr>
              <w:t>40</w:t>
            </w:r>
          </w:p>
        </w:tc>
        <w:tc>
          <w:tcPr>
            <w:tcW w:w="4151" w:type="dxa"/>
            <w:vAlign w:val="center"/>
          </w:tcPr>
          <w:p>
            <w:pPr>
              <w:spacing w:line="250" w:lineRule="exact"/>
              <w:rPr>
                <w:rFonts w:ascii="宋体" w:hAnsi="宋体"/>
                <w:sz w:val="16"/>
                <w:szCs w:val="16"/>
              </w:rPr>
            </w:pPr>
            <w:r>
              <w:rPr>
                <w:rFonts w:hint="eastAsia" w:ascii="宋体" w:hAnsi="宋体"/>
                <w:sz w:val="16"/>
                <w:szCs w:val="16"/>
              </w:rPr>
              <w:t>《生产安全事故报告和调查处理条例》第三十七条等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ascii="宋体" w:hAnsi="宋体"/>
                <w:sz w:val="16"/>
                <w:szCs w:val="16"/>
              </w:rPr>
              <w:t>存在欠薪行为但未导致所属员工上访或者死亡的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20</w:t>
            </w:r>
          </w:p>
        </w:tc>
        <w:tc>
          <w:tcPr>
            <w:tcW w:w="4151" w:type="dxa"/>
            <w:vMerge w:val="restart"/>
            <w:vAlign w:val="center"/>
          </w:tcPr>
          <w:p>
            <w:pPr>
              <w:spacing w:line="250" w:lineRule="exact"/>
              <w:ind w:left="-42" w:leftChars="-20" w:right="-42" w:rightChars="-20"/>
              <w:rPr>
                <w:rFonts w:ascii="宋体" w:hAnsi="宋体"/>
                <w:sz w:val="16"/>
                <w:szCs w:val="16"/>
              </w:rPr>
            </w:pPr>
            <w:r>
              <w:rPr>
                <w:rFonts w:hint="eastAsia" w:ascii="宋体" w:hAnsi="宋体"/>
                <w:sz w:val="16"/>
                <w:szCs w:val="16"/>
              </w:rPr>
              <w:t>《国务院办公厅关于促进建筑业持续健康发展的意见》（国办发〔</w:t>
            </w:r>
            <w:r>
              <w:rPr>
                <w:rFonts w:ascii="宋体" w:hAnsi="宋体"/>
                <w:sz w:val="16"/>
                <w:szCs w:val="16"/>
              </w:rPr>
              <w:t>201</w:t>
            </w:r>
            <w:r>
              <w:rPr>
                <w:rFonts w:hint="eastAsia" w:ascii="宋体" w:hAnsi="宋体"/>
                <w:sz w:val="16"/>
                <w:szCs w:val="16"/>
              </w:rPr>
              <w:t>7〕</w:t>
            </w:r>
            <w:r>
              <w:rPr>
                <w:rFonts w:ascii="宋体" w:hAnsi="宋体"/>
                <w:sz w:val="16"/>
                <w:szCs w:val="16"/>
              </w:rPr>
              <w:t>19</w:t>
            </w:r>
            <w:r>
              <w:rPr>
                <w:rFonts w:hint="eastAsia" w:ascii="宋体" w:hAnsi="宋体"/>
                <w:sz w:val="16"/>
                <w:szCs w:val="16"/>
              </w:rPr>
              <w:t>号）第（十三）项</w:t>
            </w:r>
          </w:p>
          <w:p>
            <w:pPr>
              <w:spacing w:line="250" w:lineRule="exact"/>
              <w:ind w:left="-42" w:leftChars="-20" w:right="-42" w:rightChars="-20"/>
              <w:rPr>
                <w:rFonts w:ascii="宋体" w:hAnsi="宋体"/>
                <w:sz w:val="16"/>
                <w:szCs w:val="16"/>
              </w:rPr>
            </w:pPr>
            <w:r>
              <w:rPr>
                <w:rFonts w:hint="eastAsia" w:ascii="宋体" w:hAnsi="宋体"/>
                <w:sz w:val="16"/>
                <w:szCs w:val="16"/>
              </w:rPr>
              <w:t>《国务院办公厅关于全面治理拖欠农民工工资问题的意见》（国办发〔2016〕1号）</w:t>
            </w:r>
          </w:p>
          <w:p>
            <w:pPr>
              <w:spacing w:line="250" w:lineRule="exact"/>
              <w:ind w:left="-42" w:leftChars="-20" w:right="-42" w:rightChars="-20"/>
              <w:rPr>
                <w:rFonts w:ascii="宋体" w:hAnsi="宋体"/>
                <w:sz w:val="16"/>
                <w:szCs w:val="16"/>
              </w:rPr>
            </w:pPr>
            <w:r>
              <w:rPr>
                <w:rFonts w:hint="eastAsia" w:ascii="宋体" w:hAnsi="宋体"/>
                <w:sz w:val="16"/>
                <w:szCs w:val="16"/>
              </w:rPr>
              <w:t>《广东省人民政府办公厅关于全面治理拖欠异地务工人员工资问题的实施意见》（粤府办〔2016〕111号）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存在欠薪行为但未导致所属员工上访或者死亡的</w:t>
            </w:r>
          </w:p>
        </w:tc>
        <w:tc>
          <w:tcPr>
            <w:tcW w:w="1843" w:type="dxa"/>
            <w:vAlign w:val="center"/>
          </w:tcPr>
          <w:p>
            <w:pPr>
              <w:spacing w:line="250" w:lineRule="exact"/>
              <w:ind w:left="-42" w:leftChars="-20"/>
              <w:jc w:val="center"/>
              <w:rPr>
                <w:rFonts w:ascii="宋体" w:hAnsi="宋体"/>
                <w:sz w:val="16"/>
                <w:szCs w:val="16"/>
              </w:rPr>
            </w:pPr>
            <w:r>
              <w:rPr>
                <w:rFonts w:hint="eastAsia" w:ascii="宋体" w:hAnsi="宋体"/>
                <w:sz w:val="16"/>
                <w:szCs w:val="16"/>
              </w:rPr>
              <w:t>4</w:t>
            </w:r>
            <w:r>
              <w:rPr>
                <w:rFonts w:ascii="宋体" w:hAnsi="宋体"/>
                <w:sz w:val="16"/>
                <w:szCs w:val="16"/>
              </w:rPr>
              <w:t>0</w:t>
            </w:r>
          </w:p>
        </w:tc>
        <w:tc>
          <w:tcPr>
            <w:tcW w:w="4151" w:type="dxa"/>
            <w:vMerge w:val="continue"/>
            <w:vAlign w:val="center"/>
          </w:tcPr>
          <w:p>
            <w:pPr>
              <w:spacing w:line="250" w:lineRule="exact"/>
              <w:ind w:left="-42" w:leftChars="-20" w:right="-42" w:rightChars="-20"/>
              <w:rPr>
                <w:rFonts w:ascii="宋体" w:hAns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10.运管单位</w:t>
            </w: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10.4廉政建设</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存在以下廉政问题的：（包括但不限于）：</w:t>
            </w:r>
          </w:p>
          <w:p>
            <w:pPr>
              <w:spacing w:line="250" w:lineRule="exact"/>
              <w:rPr>
                <w:rFonts w:ascii="宋体" w:hAnsi="宋体"/>
                <w:sz w:val="16"/>
                <w:szCs w:val="16"/>
              </w:rPr>
            </w:pPr>
            <w:r>
              <w:rPr>
                <w:rFonts w:hint="eastAsia" w:ascii="宋体" w:hAnsi="宋体"/>
                <w:sz w:val="16"/>
                <w:szCs w:val="16"/>
              </w:rPr>
              <w:t>1.</w:t>
            </w:r>
            <w:r>
              <w:rPr>
                <w:rFonts w:ascii="宋体" w:hAnsi="宋体"/>
                <w:sz w:val="16"/>
                <w:szCs w:val="16"/>
              </w:rPr>
              <w:t>向</w:t>
            </w:r>
            <w:r>
              <w:rPr>
                <w:rFonts w:hint="eastAsia" w:ascii="宋体" w:hAnsi="宋体"/>
                <w:sz w:val="16"/>
                <w:szCs w:val="16"/>
              </w:rPr>
              <w:t>建设单位或其他参建单位</w:t>
            </w:r>
            <w:r>
              <w:rPr>
                <w:rFonts w:ascii="宋体" w:hAnsi="宋体"/>
                <w:sz w:val="16"/>
                <w:szCs w:val="16"/>
              </w:rPr>
              <w:t>工作人员赠送红包礼金或输送利益(包括财物、财产性利益与非财产性利益）；</w:t>
            </w:r>
          </w:p>
          <w:p>
            <w:pPr>
              <w:spacing w:line="250" w:lineRule="exact"/>
              <w:rPr>
                <w:rFonts w:ascii="宋体" w:hAnsi="宋体"/>
                <w:sz w:val="16"/>
                <w:szCs w:val="16"/>
              </w:rPr>
            </w:pPr>
            <w:r>
              <w:rPr>
                <w:rFonts w:hint="eastAsia" w:ascii="宋体" w:hAnsi="宋体"/>
                <w:sz w:val="16"/>
                <w:szCs w:val="16"/>
              </w:rPr>
              <w:t>2.</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工作人员牵线搭桥、创造条件进行利益输送，或者代为传递信息、传递财物；</w:t>
            </w:r>
          </w:p>
          <w:p>
            <w:pPr>
              <w:spacing w:line="250" w:lineRule="exact"/>
              <w:rPr>
                <w:rFonts w:ascii="宋体" w:hAnsi="宋体"/>
                <w:sz w:val="16"/>
                <w:szCs w:val="16"/>
              </w:rPr>
            </w:pPr>
            <w:r>
              <w:rPr>
                <w:rFonts w:hint="eastAsia" w:ascii="宋体" w:hAnsi="宋体"/>
                <w:sz w:val="16"/>
                <w:szCs w:val="16"/>
              </w:rPr>
              <w:t>3.</w:t>
            </w:r>
            <w:r>
              <w:rPr>
                <w:rFonts w:ascii="宋体" w:hAnsi="宋体"/>
                <w:sz w:val="16"/>
                <w:szCs w:val="16"/>
              </w:rPr>
              <w:t>邀请</w:t>
            </w:r>
            <w:r>
              <w:rPr>
                <w:rFonts w:hint="eastAsia" w:ascii="宋体" w:hAnsi="宋体"/>
                <w:sz w:val="16"/>
                <w:szCs w:val="16"/>
              </w:rPr>
              <w:t>建设单位或其他参建单位</w:t>
            </w:r>
            <w:r>
              <w:rPr>
                <w:rFonts w:ascii="宋体" w:hAnsi="宋体"/>
                <w:sz w:val="16"/>
                <w:szCs w:val="16"/>
              </w:rPr>
              <w:t>的工作人员参加可能影响客观、公正履职的宴请、旅游、健身、娱乐等活动，以及出入私人会所等高消费场所；</w:t>
            </w:r>
          </w:p>
          <w:p>
            <w:pPr>
              <w:spacing w:line="250" w:lineRule="exact"/>
              <w:rPr>
                <w:rFonts w:ascii="宋体" w:hAnsi="宋体"/>
                <w:sz w:val="16"/>
                <w:szCs w:val="16"/>
              </w:rPr>
            </w:pPr>
            <w:r>
              <w:rPr>
                <w:rFonts w:hint="eastAsia" w:ascii="宋体" w:hAnsi="宋体"/>
                <w:sz w:val="16"/>
                <w:szCs w:val="16"/>
              </w:rPr>
              <w:t>4.</w:t>
            </w:r>
            <w:r>
              <w:rPr>
                <w:rFonts w:ascii="宋体" w:hAnsi="宋体"/>
                <w:sz w:val="16"/>
                <w:szCs w:val="16"/>
              </w:rPr>
              <w:t>为</w:t>
            </w:r>
            <w:r>
              <w:rPr>
                <w:rFonts w:hint="eastAsia" w:ascii="宋体" w:hAnsi="宋体"/>
                <w:sz w:val="16"/>
                <w:szCs w:val="16"/>
              </w:rPr>
              <w:t>建设单位或其他参建单位</w:t>
            </w:r>
            <w:r>
              <w:rPr>
                <w:rFonts w:ascii="宋体" w:hAnsi="宋体"/>
                <w:sz w:val="16"/>
                <w:szCs w:val="16"/>
              </w:rPr>
              <w:t>工作人员报销应由其个人支付的费用</w:t>
            </w:r>
          </w:p>
          <w:p>
            <w:pPr>
              <w:spacing w:line="250" w:lineRule="exact"/>
              <w:rPr>
                <w:rFonts w:ascii="宋体" w:hAnsi="宋体"/>
                <w:sz w:val="16"/>
                <w:szCs w:val="16"/>
              </w:rPr>
            </w:pPr>
            <w:r>
              <w:rPr>
                <w:rFonts w:hint="eastAsia" w:ascii="宋体" w:hAnsi="宋体"/>
                <w:sz w:val="16"/>
                <w:szCs w:val="16"/>
              </w:rPr>
              <w:t>5.</w:t>
            </w:r>
            <w:r>
              <w:rPr>
                <w:rFonts w:ascii="宋体" w:hAnsi="宋体"/>
                <w:sz w:val="16"/>
                <w:szCs w:val="16"/>
              </w:rPr>
              <w:t>将车辆、住房等违规借给</w:t>
            </w:r>
            <w:r>
              <w:rPr>
                <w:rFonts w:hint="eastAsia" w:ascii="宋体" w:hAnsi="宋体"/>
                <w:sz w:val="16"/>
                <w:szCs w:val="16"/>
              </w:rPr>
              <w:t>建设单位或其他参建单位</w:t>
            </w:r>
            <w:r>
              <w:rPr>
                <w:rFonts w:ascii="宋体" w:hAnsi="宋体"/>
                <w:sz w:val="16"/>
                <w:szCs w:val="16"/>
              </w:rPr>
              <w:t>工作人员使用</w:t>
            </w:r>
            <w:r>
              <w:rPr>
                <w:rFonts w:hint="eastAsia" w:ascii="宋体" w:hAnsi="宋体"/>
                <w:sz w:val="16"/>
                <w:szCs w:val="16"/>
              </w:rPr>
              <w:t>的</w:t>
            </w:r>
          </w:p>
          <w:p>
            <w:pPr>
              <w:spacing w:line="250" w:lineRule="exact"/>
              <w:rPr>
                <w:rFonts w:ascii="宋体" w:hAnsi="宋体"/>
                <w:sz w:val="16"/>
                <w:szCs w:val="16"/>
              </w:rPr>
            </w:pPr>
            <w:r>
              <w:rPr>
                <w:rFonts w:hint="eastAsia" w:ascii="宋体" w:hAnsi="宋体"/>
                <w:sz w:val="16"/>
                <w:szCs w:val="16"/>
              </w:rPr>
              <w:t>6.邀请或接受建设单位或其他参建单位工作人员资格证挂靠及支付报酬。）</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因存在廉政问题受到刑事处罚的扣</w:t>
            </w:r>
            <w:r>
              <w:rPr>
                <w:rFonts w:ascii="宋体" w:hAnsi="宋体"/>
                <w:sz w:val="16"/>
                <w:szCs w:val="16"/>
              </w:rPr>
              <w:t>40</w:t>
            </w:r>
            <w:r>
              <w:rPr>
                <w:rFonts w:hint="eastAsia" w:ascii="宋体" w:hAnsi="宋体"/>
                <w:sz w:val="16"/>
                <w:szCs w:val="16"/>
              </w:rPr>
              <w:t>分，受到行政处罚的扣</w:t>
            </w:r>
            <w:r>
              <w:rPr>
                <w:rFonts w:ascii="宋体" w:hAnsi="宋体"/>
                <w:sz w:val="16"/>
                <w:szCs w:val="16"/>
              </w:rPr>
              <w:t>30</w:t>
            </w:r>
            <w:r>
              <w:rPr>
                <w:rFonts w:hint="eastAsia" w:ascii="宋体" w:hAnsi="宋体"/>
                <w:sz w:val="16"/>
                <w:szCs w:val="16"/>
              </w:rPr>
              <w:t>分，受到党纪、政纪处分的扣</w:t>
            </w:r>
            <w:r>
              <w:rPr>
                <w:rFonts w:ascii="宋体" w:hAnsi="宋体"/>
                <w:sz w:val="16"/>
                <w:szCs w:val="16"/>
              </w:rPr>
              <w:t>20</w:t>
            </w:r>
            <w:r>
              <w:rPr>
                <w:rFonts w:hint="eastAsia" w:ascii="宋体" w:hAnsi="宋体"/>
                <w:sz w:val="16"/>
                <w:szCs w:val="16"/>
              </w:rPr>
              <w:t>分，其他情形的扣</w:t>
            </w:r>
            <w:r>
              <w:rPr>
                <w:rFonts w:ascii="宋体" w:hAnsi="宋体"/>
                <w:sz w:val="16"/>
                <w:szCs w:val="16"/>
              </w:rPr>
              <w:t>10</w:t>
            </w:r>
            <w:r>
              <w:rPr>
                <w:rFonts w:hint="eastAsia" w:ascii="宋体" w:hAnsi="宋体"/>
                <w:sz w:val="16"/>
                <w:szCs w:val="16"/>
              </w:rPr>
              <w:t>分</w:t>
            </w:r>
          </w:p>
        </w:tc>
        <w:tc>
          <w:tcPr>
            <w:tcW w:w="4151" w:type="dxa"/>
            <w:vAlign w:val="center"/>
          </w:tcPr>
          <w:p>
            <w:pPr>
              <w:spacing w:line="250" w:lineRule="exact"/>
              <w:rPr>
                <w:rFonts w:ascii="宋体" w:hAnsi="宋体"/>
                <w:sz w:val="16"/>
                <w:szCs w:val="16"/>
              </w:rPr>
            </w:pPr>
            <w:r>
              <w:rPr>
                <w:rFonts w:hint="eastAsia" w:ascii="宋体" w:hAnsi="宋体"/>
                <w:sz w:val="16"/>
                <w:szCs w:val="16"/>
              </w:rPr>
              <w:t>　</w:t>
            </w:r>
          </w:p>
          <w:p>
            <w:pPr>
              <w:spacing w:line="250" w:lineRule="exact"/>
              <w:rPr>
                <w:rFonts w:ascii="宋体" w:hAnsi="宋体"/>
                <w:sz w:val="16"/>
                <w:szCs w:val="16"/>
              </w:rPr>
            </w:pPr>
            <w:r>
              <w:rPr>
                <w:rFonts w:hint="eastAsia" w:ascii="宋体" w:hAnsi="宋体"/>
                <w:sz w:val="16"/>
                <w:szCs w:val="16"/>
              </w:rPr>
              <w:t>《中华人民共和国刑法》《中华人民共和国反不正当竞争法》、</w:t>
            </w:r>
            <w:r>
              <w:rPr>
                <w:rFonts w:hint="eastAsia" w:ascii="宋体" w:hAnsi="宋体"/>
                <w:sz w:val="16"/>
                <w:szCs w:val="16"/>
                <w:lang w:eastAsia="zh-CN"/>
              </w:rPr>
              <w:t>中央八项规定</w:t>
            </w:r>
            <w:r>
              <w:rPr>
                <w:rFonts w:hint="eastAsia" w:ascii="宋体" w:hAnsi="宋体"/>
                <w:sz w:val="16"/>
                <w:szCs w:val="16"/>
              </w:rPr>
              <w:t>等有关廉政建设的规定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10.5履约评价</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履约评价不合格的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季度评价不合格的扣10分，年度评价不合格的扣20分，最终评价不合格的扣40分。（导致履约评价不合格的行为已被认定过不良行为的不再对履约结果进行认定）</w:t>
            </w:r>
          </w:p>
        </w:tc>
        <w:tc>
          <w:tcPr>
            <w:tcW w:w="4151" w:type="dxa"/>
            <w:vAlign w:val="center"/>
          </w:tcPr>
          <w:p>
            <w:pPr>
              <w:spacing w:line="250" w:lineRule="exact"/>
              <w:rPr>
                <w:rFonts w:ascii="宋体" w:hAnsi="宋体"/>
                <w:sz w:val="16"/>
                <w:szCs w:val="16"/>
              </w:rPr>
            </w:pPr>
            <w:r>
              <w:rPr>
                <w:rFonts w:hint="eastAsia" w:ascii="宋体" w:hAnsi="宋体"/>
                <w:sz w:val="16"/>
                <w:szCs w:val="16"/>
              </w:rPr>
              <w:t>《国务院关于建立完善守信联合激励和失信联合惩戒制度加快推进社会诚信建设的指导意见》《国务院办公厅关于加快推进社会信用体系建设构建以信用为基础的新型监管机制的指导意见》《深圳市公共信用信息管理办法》等有关社会诚信建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restart"/>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10.6其他</w:t>
            </w: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rPr>
                <w:rFonts w:ascii="宋体" w:hAnsi="宋体"/>
                <w:sz w:val="16"/>
                <w:szCs w:val="16"/>
              </w:rPr>
            </w:pPr>
            <w:r>
              <w:rPr>
                <w:rFonts w:hint="eastAsia" w:ascii="宋体" w:hAnsi="宋体"/>
                <w:sz w:val="16"/>
                <w:szCs w:val="16"/>
              </w:rPr>
              <w:t>在水行政主管部门组织的检查或考核或评比活动中被给予通报批评的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20</w:t>
            </w:r>
          </w:p>
        </w:tc>
        <w:tc>
          <w:tcPr>
            <w:tcW w:w="4151" w:type="dxa"/>
            <w:vAlign w:val="center"/>
          </w:tcPr>
          <w:p>
            <w:pPr>
              <w:spacing w:line="250" w:lineRule="exact"/>
              <w:rPr>
                <w:rFonts w:ascii="宋体" w:hAnsi="宋体"/>
                <w:sz w:val="16"/>
                <w:szCs w:val="16"/>
              </w:rPr>
            </w:pPr>
            <w:r>
              <w:rPr>
                <w:rFonts w:hint="eastAsia" w:ascii="宋体" w:hAnsi="宋体"/>
                <w:sz w:val="16"/>
                <w:szCs w:val="16"/>
              </w:rPr>
              <w:t>《建设工程质量管理条例》第四十三条</w:t>
            </w:r>
          </w:p>
          <w:p>
            <w:pPr>
              <w:spacing w:line="250" w:lineRule="exact"/>
              <w:rPr>
                <w:rFonts w:ascii="宋体" w:hAnsi="宋体"/>
                <w:sz w:val="16"/>
                <w:szCs w:val="16"/>
              </w:rPr>
            </w:pPr>
            <w:r>
              <w:rPr>
                <w:rFonts w:hint="eastAsia" w:ascii="宋体" w:hAnsi="宋体"/>
                <w:sz w:val="16"/>
                <w:szCs w:val="16"/>
              </w:rPr>
              <w:t>《建设工程安全生产管理条例》第四十条</w:t>
            </w:r>
          </w:p>
          <w:p>
            <w:pPr>
              <w:spacing w:line="250" w:lineRule="exact"/>
              <w:rPr>
                <w:rFonts w:ascii="宋体" w:hAnsi="宋体"/>
                <w:sz w:val="16"/>
                <w:szCs w:val="16"/>
              </w:rPr>
            </w:pPr>
            <w:r>
              <w:rPr>
                <w:rFonts w:hint="eastAsia" w:ascii="宋体" w:hAnsi="宋体"/>
                <w:sz w:val="16"/>
                <w:szCs w:val="16"/>
              </w:rPr>
              <w:t>与招标人签订的合同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非不可抗力，不按照与招标人订立的合同履行义务的其他行为的</w:t>
            </w:r>
          </w:p>
        </w:tc>
        <w:tc>
          <w:tcPr>
            <w:tcW w:w="1843" w:type="dxa"/>
            <w:vAlign w:val="center"/>
          </w:tcPr>
          <w:p>
            <w:pPr>
              <w:spacing w:line="250" w:lineRule="exact"/>
              <w:ind w:left="-42" w:leftChars="-20" w:right="-42" w:rightChars="-20"/>
              <w:jc w:val="center"/>
              <w:rPr>
                <w:rFonts w:ascii="宋体" w:hAnsi="宋体"/>
                <w:sz w:val="16"/>
                <w:szCs w:val="16"/>
              </w:rPr>
            </w:pPr>
            <w:r>
              <w:rPr>
                <w:rFonts w:hint="eastAsia" w:ascii="宋体" w:hAnsi="宋体"/>
                <w:sz w:val="16"/>
                <w:szCs w:val="16"/>
              </w:rPr>
              <w:t>每项次扣</w:t>
            </w:r>
            <w:r>
              <w:rPr>
                <w:rFonts w:ascii="宋体" w:hAnsi="宋体"/>
                <w:sz w:val="16"/>
                <w:szCs w:val="16"/>
              </w:rPr>
              <w:t>3</w:t>
            </w:r>
            <w:r>
              <w:rPr>
                <w:rFonts w:hint="eastAsia" w:ascii="宋体" w:hAnsi="宋体"/>
                <w:sz w:val="16"/>
                <w:szCs w:val="16"/>
              </w:rPr>
              <w:t>分</w:t>
            </w:r>
          </w:p>
        </w:tc>
        <w:tc>
          <w:tcPr>
            <w:tcW w:w="4151" w:type="dxa"/>
            <w:vAlign w:val="center"/>
          </w:tcPr>
          <w:p>
            <w:pPr>
              <w:spacing w:line="250" w:lineRule="exact"/>
              <w:ind w:left="-42" w:leftChars="-20" w:right="-42" w:rightChars="-20"/>
              <w:rPr>
                <w:rFonts w:ascii="宋体" w:hAnsi="宋体"/>
                <w:sz w:val="16"/>
                <w:szCs w:val="16"/>
              </w:rPr>
            </w:pPr>
            <w:r>
              <w:rPr>
                <w:rFonts w:hint="eastAsia" w:ascii="宋体" w:hAnsi="宋体"/>
                <w:sz w:val="16"/>
                <w:szCs w:val="16"/>
              </w:rPr>
              <w:t>《招标投标法》第六十条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67" w:type="dxa"/>
            <w:vMerge w:val="continue"/>
            <w:vAlign w:val="center"/>
          </w:tcPr>
          <w:p>
            <w:pPr>
              <w:spacing w:line="250" w:lineRule="exact"/>
              <w:ind w:left="-42" w:leftChars="-20" w:right="-42" w:rightChars="-20"/>
              <w:jc w:val="center"/>
              <w:rPr>
                <w:rFonts w:ascii="宋体" w:hAnsi="宋体"/>
                <w:sz w:val="16"/>
                <w:szCs w:val="16"/>
              </w:rPr>
            </w:pPr>
          </w:p>
        </w:tc>
        <w:tc>
          <w:tcPr>
            <w:tcW w:w="501" w:type="dxa"/>
            <w:vAlign w:val="center"/>
          </w:tcPr>
          <w:p>
            <w:pPr>
              <w:numPr>
                <w:ilvl w:val="0"/>
                <w:numId w:val="5"/>
              </w:numPr>
              <w:spacing w:line="250" w:lineRule="exact"/>
              <w:jc w:val="center"/>
              <w:rPr>
                <w:rFonts w:ascii="宋体" w:hAnsi="宋体"/>
                <w:b/>
                <w:sz w:val="16"/>
                <w:szCs w:val="16"/>
              </w:rPr>
            </w:pPr>
          </w:p>
        </w:tc>
        <w:tc>
          <w:tcPr>
            <w:tcW w:w="6237" w:type="dxa"/>
            <w:vAlign w:val="center"/>
          </w:tcPr>
          <w:p>
            <w:pPr>
              <w:spacing w:line="250" w:lineRule="exact"/>
              <w:ind w:left="-42" w:leftChars="-20"/>
              <w:rPr>
                <w:rFonts w:ascii="宋体" w:hAnsi="宋体"/>
                <w:sz w:val="16"/>
                <w:szCs w:val="16"/>
              </w:rPr>
            </w:pPr>
            <w:r>
              <w:rPr>
                <w:rFonts w:hint="eastAsia" w:ascii="宋体" w:hAnsi="宋体"/>
                <w:sz w:val="16"/>
                <w:szCs w:val="16"/>
              </w:rPr>
              <w:t>在相关信用信息平台中录入的信息或向有关行政部门、专业部门提供的信息存在隐瞒真实情况、弄虚作假情况的或未履行有关承诺的</w:t>
            </w:r>
          </w:p>
        </w:tc>
        <w:tc>
          <w:tcPr>
            <w:tcW w:w="1843" w:type="dxa"/>
            <w:vAlign w:val="center"/>
          </w:tcPr>
          <w:p>
            <w:pPr>
              <w:spacing w:line="250" w:lineRule="exact"/>
              <w:jc w:val="center"/>
              <w:rPr>
                <w:rFonts w:ascii="宋体" w:hAnsi="宋体"/>
                <w:sz w:val="16"/>
                <w:szCs w:val="16"/>
              </w:rPr>
            </w:pPr>
            <w:r>
              <w:rPr>
                <w:rFonts w:hint="eastAsia" w:ascii="宋体" w:hAnsi="宋体"/>
                <w:sz w:val="16"/>
                <w:szCs w:val="16"/>
              </w:rPr>
              <w:t>40</w:t>
            </w:r>
          </w:p>
        </w:tc>
        <w:tc>
          <w:tcPr>
            <w:tcW w:w="4151" w:type="dxa"/>
            <w:vAlign w:val="center"/>
          </w:tcPr>
          <w:p>
            <w:pPr>
              <w:spacing w:line="250" w:lineRule="exact"/>
              <w:ind w:left="-42" w:leftChars="-20"/>
              <w:rPr>
                <w:rFonts w:ascii="宋体" w:hAnsi="宋体"/>
                <w:sz w:val="16"/>
                <w:szCs w:val="16"/>
              </w:rPr>
            </w:pPr>
            <w:r>
              <w:rPr>
                <w:rFonts w:hint="eastAsia" w:ascii="宋体" w:hAnsi="宋体"/>
                <w:sz w:val="16"/>
                <w:szCs w:val="16"/>
              </w:rPr>
              <w:t>《水利部关于促进市场公平竞争维护水利建设市场正常秩序的实施意见》</w:t>
            </w:r>
          </w:p>
        </w:tc>
      </w:tr>
    </w:tbl>
    <w:p>
      <w:pPr>
        <w:jc w:val="left"/>
      </w:pPr>
    </w:p>
    <w:p>
      <w:pPr>
        <w:jc w:val="left"/>
        <w:rPr>
          <w:b/>
          <w:sz w:val="28"/>
          <w:szCs w:val="28"/>
        </w:rPr>
      </w:pPr>
    </w:p>
    <w:p>
      <w:pPr>
        <w:jc w:val="left"/>
      </w:pPr>
    </w:p>
    <w:p>
      <w:pPr>
        <w:spacing w:line="0" w:lineRule="atLeast"/>
        <w:jc w:val="center"/>
        <w:rPr>
          <w:rFonts w:ascii="宋体" w:hAnsi="宋体"/>
          <w:sz w:val="36"/>
          <w:szCs w:val="36"/>
        </w:rPr>
        <w:sectPr>
          <w:headerReference r:id="rId5" w:type="default"/>
          <w:pgSz w:w="16838" w:h="11906" w:orient="landscape"/>
          <w:pgMar w:top="1418" w:right="1843" w:bottom="1702" w:left="1843" w:header="1304" w:footer="1304" w:gutter="0"/>
          <w:pgNumType w:start="1"/>
          <w:cols w:space="720" w:num="1"/>
          <w:docGrid w:linePitch="312" w:charSpace="0"/>
        </w:sectPr>
      </w:pPr>
    </w:p>
    <w:p>
      <w:pPr>
        <w:pStyle w:val="315"/>
        <w:widowControl/>
        <w:spacing w:line="480" w:lineRule="auto"/>
        <w:ind w:right="42" w:firstLine="0" w:firstLineChars="0"/>
        <w:rPr>
          <w:rFonts w:ascii="黑体" w:hAnsi="黑体" w:eastAsia="黑体"/>
          <w:kern w:val="0"/>
          <w:sz w:val="32"/>
          <w:szCs w:val="28"/>
        </w:rPr>
      </w:pPr>
      <w:r>
        <w:rPr>
          <w:rFonts w:hint="eastAsia" w:ascii="黑体" w:hAnsi="黑体" w:eastAsia="黑体"/>
          <w:kern w:val="0"/>
          <w:sz w:val="32"/>
          <w:szCs w:val="28"/>
        </w:rPr>
        <w:t>附件2</w:t>
      </w:r>
    </w:p>
    <w:p>
      <w:pPr>
        <w:widowControl/>
        <w:spacing w:line="560" w:lineRule="exact"/>
        <w:ind w:right="40"/>
        <w:jc w:val="center"/>
        <w:rPr>
          <w:rFonts w:ascii="方正小标宋_GBK" w:hAnsi="宋体" w:eastAsia="方正小标宋_GBK"/>
          <w:bCs/>
          <w:kern w:val="0"/>
          <w:sz w:val="44"/>
          <w:szCs w:val="44"/>
        </w:rPr>
      </w:pPr>
      <w:r>
        <w:rPr>
          <w:rFonts w:hint="eastAsia" w:ascii="方正小标宋_GBK" w:hAnsi="宋体" w:eastAsia="方正小标宋_GBK"/>
          <w:bCs/>
          <w:kern w:val="0"/>
          <w:sz w:val="44"/>
          <w:szCs w:val="44"/>
        </w:rPr>
        <w:t>不良行为申报表</w:t>
      </w:r>
    </w:p>
    <w:p>
      <w:pPr>
        <w:jc w:val="center"/>
        <w:rPr>
          <w:rFonts w:ascii="宋体" w:hAnsi="宋体"/>
          <w:sz w:val="24"/>
        </w:rPr>
      </w:pPr>
    </w:p>
    <w:p>
      <w:pPr>
        <w:jc w:val="center"/>
        <w:rPr>
          <w:rFonts w:ascii="仿宋_GB2312" w:hAnsi="宋体" w:eastAsia="仿宋_GB2312"/>
          <w:sz w:val="24"/>
        </w:rPr>
      </w:pPr>
      <w:r>
        <w:rPr>
          <w:rFonts w:hint="eastAsia" w:ascii="宋体" w:hAnsi="宋体"/>
          <w:sz w:val="24"/>
        </w:rPr>
        <w:t xml:space="preserve">                                    </w:t>
      </w:r>
      <w:r>
        <w:rPr>
          <w:rFonts w:hint="eastAsia" w:ascii="仿宋_GB2312" w:hAnsi="宋体" w:eastAsia="仿宋_GB2312"/>
          <w:sz w:val="24"/>
        </w:rPr>
        <w:t xml:space="preserve">                 年  月   日</w:t>
      </w:r>
    </w:p>
    <w:tbl>
      <w:tblPr>
        <w:tblStyle w:val="5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3645"/>
        <w:gridCol w:w="1316"/>
        <w:gridCol w:w="2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384" w:type="dxa"/>
            <w:vAlign w:val="center"/>
          </w:tcPr>
          <w:p>
            <w:pPr>
              <w:jc w:val="center"/>
              <w:rPr>
                <w:rFonts w:ascii="仿宋_GB2312" w:hAnsi="宋体" w:eastAsia="仿宋_GB2312"/>
                <w:sz w:val="28"/>
                <w:szCs w:val="28"/>
              </w:rPr>
            </w:pPr>
            <w:r>
              <w:rPr>
                <w:rFonts w:hint="eastAsia" w:ascii="仿宋_GB2312" w:hAnsi="宋体" w:eastAsia="仿宋_GB2312"/>
                <w:sz w:val="28"/>
                <w:szCs w:val="28"/>
              </w:rPr>
              <w:t>申报单位</w:t>
            </w:r>
          </w:p>
        </w:tc>
        <w:tc>
          <w:tcPr>
            <w:tcW w:w="7138" w:type="dxa"/>
            <w:gridSpan w:val="3"/>
          </w:tcPr>
          <w:p>
            <w:pPr>
              <w:ind w:firstLine="5040" w:firstLineChars="1800"/>
              <w:rPr>
                <w:rFonts w:ascii="仿宋_GB2312" w:hAnsi="宋体" w:eastAsia="仿宋_GB2312"/>
                <w:sz w:val="28"/>
                <w:szCs w:val="28"/>
              </w:rPr>
            </w:pPr>
            <w:r>
              <w:rPr>
                <w:rFonts w:hint="eastAsia" w:ascii="仿宋_GB2312" w:hAnsi="宋体" w:eastAsia="仿宋_GB2312"/>
                <w:sz w:val="28"/>
                <w:szCs w:val="28"/>
              </w:rPr>
              <w:t>（公章）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384" w:type="dxa"/>
            <w:vAlign w:val="center"/>
          </w:tcPr>
          <w:p>
            <w:pPr>
              <w:spacing w:line="480" w:lineRule="exact"/>
              <w:jc w:val="center"/>
              <w:rPr>
                <w:rFonts w:ascii="仿宋_GB2312" w:hAnsi="宋体" w:eastAsia="仿宋_GB2312"/>
                <w:sz w:val="28"/>
                <w:szCs w:val="28"/>
              </w:rPr>
            </w:pPr>
            <w:r>
              <w:rPr>
                <w:rFonts w:hint="eastAsia" w:ascii="仿宋_GB2312" w:hAnsi="宋体" w:eastAsia="仿宋_GB2312"/>
                <w:sz w:val="28"/>
                <w:szCs w:val="28"/>
              </w:rPr>
              <w:t>被认定</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3645" w:type="dxa"/>
            <w:tcBorders>
              <w:right w:val="single" w:color="auto" w:sz="4" w:space="0"/>
            </w:tcBorders>
            <w:vAlign w:val="center"/>
          </w:tcPr>
          <w:p>
            <w:pPr>
              <w:jc w:val="center"/>
              <w:rPr>
                <w:rFonts w:ascii="仿宋_GB2312" w:hAnsi="宋体" w:eastAsia="仿宋_GB2312"/>
                <w:b/>
                <w:bCs/>
                <w:sz w:val="28"/>
                <w:szCs w:val="28"/>
              </w:rPr>
            </w:pPr>
          </w:p>
        </w:tc>
        <w:tc>
          <w:tcPr>
            <w:tcW w:w="1316" w:type="dxa"/>
            <w:tcBorders>
              <w:left w:val="single" w:color="auto" w:sz="4" w:space="0"/>
              <w:right w:val="single" w:color="auto" w:sz="4" w:space="0"/>
            </w:tcBorders>
            <w:vAlign w:val="center"/>
          </w:tcPr>
          <w:p>
            <w:pPr>
              <w:spacing w:line="480" w:lineRule="exact"/>
              <w:jc w:val="center"/>
              <w:rPr>
                <w:rFonts w:ascii="仿宋_GB2312" w:hAnsi="宋体" w:eastAsia="仿宋_GB2312"/>
                <w:sz w:val="28"/>
                <w:szCs w:val="28"/>
              </w:rPr>
            </w:pPr>
            <w:r>
              <w:rPr>
                <w:rFonts w:hint="eastAsia" w:ascii="仿宋_GB2312" w:hAnsi="宋体" w:eastAsia="仿宋_GB2312"/>
                <w:sz w:val="28"/>
                <w:szCs w:val="28"/>
              </w:rPr>
              <w:t>申报认定情况</w:t>
            </w:r>
          </w:p>
        </w:tc>
        <w:tc>
          <w:tcPr>
            <w:tcW w:w="2177" w:type="dxa"/>
            <w:tcBorders>
              <w:left w:val="single" w:color="auto" w:sz="4" w:space="0"/>
            </w:tcBorders>
            <w:vAlign w:val="center"/>
          </w:tcPr>
          <w:p>
            <w:pPr>
              <w:spacing w:line="400" w:lineRule="exact"/>
              <w:jc w:val="left"/>
              <w:rPr>
                <w:rFonts w:ascii="仿宋_GB2312" w:hAnsi="宋体" w:eastAsia="仿宋_GB2312"/>
                <w:sz w:val="28"/>
                <w:szCs w:val="28"/>
              </w:rPr>
            </w:pPr>
            <w:r>
              <w:rPr>
                <w:rFonts w:hint="eastAsia" w:ascii="仿宋_GB2312" w:hAnsi="宋体" w:eastAsia="仿宋_GB2312"/>
                <w:sz w:val="28"/>
                <w:szCs w:val="28"/>
              </w:rPr>
              <w:t>□扣</w:t>
            </w:r>
            <w:r>
              <w:rPr>
                <w:rFonts w:hint="eastAsia" w:ascii="仿宋_GB2312" w:hAnsi="宋体" w:eastAsia="仿宋_GB2312"/>
                <w:sz w:val="28"/>
                <w:szCs w:val="28"/>
                <w:u w:val="single"/>
              </w:rPr>
              <w:t xml:space="preserve">    </w:t>
            </w:r>
            <w:r>
              <w:rPr>
                <w:rFonts w:hint="eastAsia" w:ascii="仿宋_GB2312" w:hAnsi="宋体" w:eastAsia="仿宋_GB2312"/>
                <w:sz w:val="28"/>
                <w:szCs w:val="28"/>
              </w:rPr>
              <w:t>分</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□轻微</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□较严重</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□严重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384" w:type="dxa"/>
            <w:vAlign w:val="center"/>
          </w:tcPr>
          <w:p>
            <w:pPr>
              <w:spacing w:line="480" w:lineRule="exact"/>
              <w:jc w:val="center"/>
              <w:rPr>
                <w:rFonts w:ascii="仿宋_GB2312" w:hAnsi="宋体" w:eastAsia="仿宋_GB2312"/>
                <w:sz w:val="28"/>
                <w:szCs w:val="28"/>
              </w:rPr>
            </w:pPr>
            <w:r>
              <w:rPr>
                <w:rFonts w:hint="eastAsia" w:ascii="仿宋_GB2312" w:hAnsi="宋体" w:eastAsia="仿宋_GB2312"/>
                <w:sz w:val="28"/>
                <w:szCs w:val="28"/>
              </w:rPr>
              <w:t>被认定项目负责人/法定代表人</w:t>
            </w:r>
          </w:p>
        </w:tc>
        <w:tc>
          <w:tcPr>
            <w:tcW w:w="3645" w:type="dxa"/>
            <w:tcBorders>
              <w:right w:val="single" w:color="auto" w:sz="4" w:space="0"/>
            </w:tcBorders>
            <w:vAlign w:val="center"/>
          </w:tcPr>
          <w:p>
            <w:pPr>
              <w:jc w:val="center"/>
              <w:rPr>
                <w:rFonts w:ascii="仿宋_GB2312" w:hAnsi="宋体" w:eastAsia="仿宋_GB2312"/>
                <w:b/>
                <w:bCs/>
                <w:sz w:val="28"/>
                <w:szCs w:val="28"/>
              </w:rPr>
            </w:pPr>
          </w:p>
        </w:tc>
        <w:tc>
          <w:tcPr>
            <w:tcW w:w="1316" w:type="dxa"/>
            <w:tcBorders>
              <w:left w:val="single" w:color="auto" w:sz="4" w:space="0"/>
              <w:right w:val="single" w:color="auto" w:sz="4" w:space="0"/>
            </w:tcBorders>
            <w:vAlign w:val="center"/>
          </w:tcPr>
          <w:p>
            <w:pPr>
              <w:spacing w:line="480" w:lineRule="exact"/>
              <w:jc w:val="center"/>
              <w:rPr>
                <w:rFonts w:ascii="仿宋_GB2312" w:hAnsi="宋体" w:eastAsia="仿宋_GB2312"/>
                <w:sz w:val="28"/>
                <w:szCs w:val="28"/>
              </w:rPr>
            </w:pPr>
            <w:r>
              <w:rPr>
                <w:rFonts w:hint="eastAsia" w:ascii="仿宋_GB2312" w:hAnsi="宋体" w:eastAsia="仿宋_GB2312"/>
                <w:sz w:val="28"/>
                <w:szCs w:val="28"/>
              </w:rPr>
              <w:t>申报认定情况</w:t>
            </w:r>
          </w:p>
        </w:tc>
        <w:tc>
          <w:tcPr>
            <w:tcW w:w="2177" w:type="dxa"/>
            <w:tcBorders>
              <w:left w:val="single" w:color="auto" w:sz="4" w:space="0"/>
            </w:tcBorders>
            <w:vAlign w:val="center"/>
          </w:tcPr>
          <w:p>
            <w:pPr>
              <w:spacing w:line="400" w:lineRule="exact"/>
              <w:jc w:val="left"/>
              <w:rPr>
                <w:rFonts w:ascii="仿宋_GB2312" w:hAnsi="宋体" w:eastAsia="仿宋_GB2312"/>
                <w:sz w:val="28"/>
                <w:szCs w:val="28"/>
              </w:rPr>
            </w:pPr>
            <w:r>
              <w:rPr>
                <w:rFonts w:hint="eastAsia" w:ascii="仿宋_GB2312" w:hAnsi="宋体" w:eastAsia="仿宋_GB2312"/>
                <w:sz w:val="28"/>
                <w:szCs w:val="28"/>
              </w:rPr>
              <w:t>□扣</w:t>
            </w:r>
            <w:r>
              <w:rPr>
                <w:rFonts w:hint="eastAsia" w:ascii="仿宋_GB2312" w:hAnsi="宋体" w:eastAsia="仿宋_GB2312"/>
                <w:sz w:val="28"/>
                <w:szCs w:val="28"/>
                <w:u w:val="single"/>
              </w:rPr>
              <w:t xml:space="preserve">    </w:t>
            </w:r>
            <w:r>
              <w:rPr>
                <w:rFonts w:hint="eastAsia" w:ascii="仿宋_GB2312" w:hAnsi="宋体" w:eastAsia="仿宋_GB2312"/>
                <w:sz w:val="28"/>
                <w:szCs w:val="28"/>
              </w:rPr>
              <w:t>分</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□轻微</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□较严重</w:t>
            </w:r>
          </w:p>
          <w:p>
            <w:pPr>
              <w:spacing w:line="400" w:lineRule="exact"/>
              <w:jc w:val="left"/>
              <w:rPr>
                <w:rFonts w:ascii="仿宋_GB2312" w:hAnsi="宋体" w:eastAsia="仿宋_GB2312"/>
                <w:sz w:val="28"/>
                <w:szCs w:val="28"/>
              </w:rPr>
            </w:pPr>
            <w:r>
              <w:rPr>
                <w:rFonts w:hint="eastAsia" w:ascii="仿宋_GB2312" w:hAnsi="宋体" w:eastAsia="仿宋_GB2312"/>
                <w:sz w:val="28"/>
                <w:szCs w:val="28"/>
              </w:rPr>
              <w:t>□严重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384" w:type="dxa"/>
            <w:vMerge w:val="restart"/>
            <w:vAlign w:val="center"/>
          </w:tcPr>
          <w:p>
            <w:pPr>
              <w:jc w:val="center"/>
              <w:rPr>
                <w:rFonts w:ascii="仿宋_GB2312" w:hAnsi="宋体" w:eastAsia="仿宋_GB2312"/>
                <w:sz w:val="28"/>
                <w:szCs w:val="28"/>
              </w:rPr>
            </w:pPr>
            <w:r>
              <w:rPr>
                <w:rFonts w:hint="eastAsia" w:ascii="仿宋_GB2312" w:hAnsi="宋体" w:eastAsia="仿宋_GB2312"/>
                <w:sz w:val="28"/>
                <w:szCs w:val="28"/>
              </w:rPr>
              <w:t>申报</w:t>
            </w:r>
          </w:p>
          <w:p>
            <w:pPr>
              <w:jc w:val="center"/>
              <w:rPr>
                <w:rFonts w:ascii="仿宋_GB2312" w:hAnsi="宋体" w:eastAsia="仿宋_GB2312"/>
                <w:sz w:val="28"/>
                <w:szCs w:val="28"/>
              </w:rPr>
            </w:pPr>
            <w:r>
              <w:rPr>
                <w:rFonts w:hint="eastAsia" w:ascii="仿宋_GB2312" w:hAnsi="宋体" w:eastAsia="仿宋_GB2312"/>
                <w:sz w:val="28"/>
                <w:szCs w:val="28"/>
              </w:rPr>
              <w:t>认定</w:t>
            </w:r>
          </w:p>
          <w:p>
            <w:pPr>
              <w:jc w:val="center"/>
              <w:rPr>
                <w:rFonts w:ascii="仿宋_GB2312" w:hAnsi="宋体" w:eastAsia="仿宋_GB2312"/>
                <w:sz w:val="28"/>
                <w:szCs w:val="28"/>
              </w:rPr>
            </w:pPr>
            <w:r>
              <w:rPr>
                <w:rFonts w:hint="eastAsia" w:ascii="仿宋_GB2312" w:hAnsi="宋体" w:eastAsia="仿宋_GB2312"/>
                <w:sz w:val="28"/>
                <w:szCs w:val="28"/>
              </w:rPr>
              <w:t>事项</w:t>
            </w:r>
          </w:p>
        </w:tc>
        <w:tc>
          <w:tcPr>
            <w:tcW w:w="7138" w:type="dxa"/>
            <w:gridSpan w:val="3"/>
            <w:tcBorders>
              <w:right w:val="single" w:color="000000" w:themeColor="text1" w:sz="4" w:space="0"/>
            </w:tcBorders>
          </w:tcPr>
          <w:p>
            <w:pPr>
              <w:rPr>
                <w:rFonts w:ascii="仿宋_GB2312" w:hAnsi="宋体" w:eastAsia="仿宋_GB2312"/>
                <w:sz w:val="28"/>
                <w:szCs w:val="28"/>
              </w:rPr>
            </w:pPr>
            <w:r>
              <w:rPr>
                <w:rFonts w:hint="eastAsia" w:ascii="仿宋_GB2312" w:hAnsi="宋体" w:eastAsia="仿宋_GB2312"/>
                <w:sz w:val="28"/>
                <w:szCs w:val="28"/>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1384" w:type="dxa"/>
            <w:vMerge w:val="continue"/>
            <w:vAlign w:val="center"/>
          </w:tcPr>
          <w:p>
            <w:pPr>
              <w:jc w:val="center"/>
              <w:rPr>
                <w:rFonts w:ascii="仿宋_GB2312" w:hAnsi="宋体" w:eastAsia="仿宋_GB2312"/>
                <w:sz w:val="28"/>
                <w:szCs w:val="28"/>
              </w:rPr>
            </w:pPr>
          </w:p>
        </w:tc>
        <w:tc>
          <w:tcPr>
            <w:tcW w:w="7138" w:type="dxa"/>
            <w:gridSpan w:val="3"/>
            <w:tcBorders>
              <w:right w:val="single" w:color="000000" w:themeColor="text1" w:sz="4" w:space="0"/>
            </w:tcBorders>
          </w:tcPr>
          <w:p>
            <w:pPr>
              <w:rPr>
                <w:rFonts w:ascii="仿宋_GB2312" w:hAnsi="宋体" w:eastAsia="仿宋_GB2312"/>
                <w:sz w:val="28"/>
                <w:szCs w:val="28"/>
              </w:rPr>
            </w:pPr>
            <w:r>
              <w:rPr>
                <w:rFonts w:hint="eastAsia" w:ascii="仿宋_GB2312" w:hAnsi="宋体" w:eastAsia="仿宋_GB2312"/>
                <w:sz w:val="28"/>
                <w:szCs w:val="28"/>
              </w:rPr>
              <w:t>项目负责人/法定代表人：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1" w:hRule="atLeast"/>
          <w:jc w:val="center"/>
        </w:trPr>
        <w:tc>
          <w:tcPr>
            <w:tcW w:w="1384" w:type="dxa"/>
            <w:vAlign w:val="center"/>
          </w:tcPr>
          <w:p>
            <w:pPr>
              <w:jc w:val="center"/>
              <w:rPr>
                <w:rFonts w:ascii="仿宋_GB2312" w:hAnsi="宋体" w:eastAsia="仿宋_GB2312"/>
                <w:sz w:val="28"/>
                <w:szCs w:val="28"/>
              </w:rPr>
            </w:pPr>
            <w:r>
              <w:rPr>
                <w:rFonts w:hint="eastAsia" w:ascii="仿宋_GB2312" w:hAnsi="宋体" w:eastAsia="仿宋_GB2312"/>
                <w:sz w:val="28"/>
                <w:szCs w:val="28"/>
              </w:rPr>
              <w:t>申报</w:t>
            </w:r>
          </w:p>
          <w:p>
            <w:pPr>
              <w:jc w:val="center"/>
              <w:rPr>
                <w:rFonts w:ascii="仿宋_GB2312" w:hAnsi="宋体" w:eastAsia="仿宋_GB2312"/>
                <w:sz w:val="28"/>
                <w:szCs w:val="28"/>
              </w:rPr>
            </w:pPr>
            <w:r>
              <w:rPr>
                <w:rFonts w:hint="eastAsia" w:ascii="仿宋_GB2312" w:hAnsi="宋体" w:eastAsia="仿宋_GB2312"/>
                <w:sz w:val="28"/>
                <w:szCs w:val="28"/>
              </w:rPr>
              <w:t>认定</w:t>
            </w:r>
          </w:p>
          <w:p>
            <w:pPr>
              <w:jc w:val="center"/>
              <w:rPr>
                <w:rFonts w:ascii="仿宋_GB2312" w:hAnsi="宋体" w:eastAsia="仿宋_GB2312"/>
                <w:sz w:val="28"/>
                <w:szCs w:val="28"/>
              </w:rPr>
            </w:pPr>
            <w:r>
              <w:rPr>
                <w:rFonts w:hint="eastAsia" w:ascii="仿宋_GB2312" w:hAnsi="宋体" w:eastAsia="仿宋_GB2312"/>
                <w:sz w:val="28"/>
                <w:szCs w:val="28"/>
              </w:rPr>
              <w:t>依据</w:t>
            </w:r>
          </w:p>
        </w:tc>
        <w:tc>
          <w:tcPr>
            <w:tcW w:w="7138" w:type="dxa"/>
            <w:gridSpan w:val="3"/>
          </w:tcPr>
          <w:p>
            <w:pPr>
              <w:rPr>
                <w:rFonts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49" w:hRule="atLeast"/>
          <w:jc w:val="center"/>
        </w:trPr>
        <w:tc>
          <w:tcPr>
            <w:tcW w:w="8522" w:type="dxa"/>
            <w:gridSpan w:val="4"/>
          </w:tcPr>
          <w:p>
            <w:pPr>
              <w:rPr>
                <w:rFonts w:ascii="仿宋_GB2312" w:hAnsi="宋体" w:eastAsia="仿宋_GB2312"/>
                <w:sz w:val="28"/>
                <w:szCs w:val="28"/>
              </w:rPr>
            </w:pPr>
            <w:r>
              <w:rPr>
                <w:rFonts w:hint="eastAsia" w:ascii="仿宋_GB2312" w:hAnsi="宋体" w:eastAsia="仿宋_GB2312"/>
                <w:sz w:val="28"/>
                <w:szCs w:val="28"/>
              </w:rPr>
              <w:t>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8522" w:type="dxa"/>
            <w:gridSpan w:val="4"/>
          </w:tcPr>
          <w:p>
            <w:pPr>
              <w:rPr>
                <w:rFonts w:ascii="仿宋_GB2312" w:hAnsi="宋体" w:eastAsia="仿宋_GB2312"/>
                <w:sz w:val="28"/>
                <w:szCs w:val="28"/>
              </w:rPr>
            </w:pPr>
            <w:r>
              <w:rPr>
                <w:rFonts w:hint="eastAsia" w:ascii="仿宋_GB2312" w:hAnsi="宋体" w:eastAsia="仿宋_GB2312"/>
                <w:sz w:val="28"/>
                <w:szCs w:val="28"/>
              </w:rPr>
              <w:t>备注</w:t>
            </w:r>
          </w:p>
        </w:tc>
      </w:tr>
    </w:tbl>
    <w:p>
      <w:pPr>
        <w:rPr>
          <w:rFonts w:ascii="仿宋_GB2312" w:hAnsi="宋体" w:eastAsia="仿宋_GB2312"/>
          <w:sz w:val="24"/>
        </w:rPr>
      </w:pPr>
      <w:r>
        <w:rPr>
          <w:rFonts w:hint="eastAsia" w:ascii="仿宋_GB2312" w:hAnsi="宋体" w:eastAsia="仿宋_GB2312"/>
          <w:sz w:val="24"/>
        </w:rPr>
        <w:t>说明：此表由项目法人（建设单位）填写，报水行政主管部门。</w:t>
      </w:r>
    </w:p>
    <w:p>
      <w:pPr>
        <w:pStyle w:val="315"/>
        <w:widowControl/>
        <w:spacing w:line="480" w:lineRule="auto"/>
        <w:ind w:right="42" w:firstLine="0" w:firstLineChars="0"/>
        <w:rPr>
          <w:rFonts w:ascii="仿宋_GB2312" w:hAnsi="宋体" w:eastAsia="仿宋_GB2312"/>
          <w:kern w:val="0"/>
          <w:sz w:val="28"/>
          <w:szCs w:val="28"/>
        </w:rPr>
        <w:sectPr>
          <w:pgSz w:w="11906" w:h="16838"/>
          <w:pgMar w:top="2098" w:right="1474" w:bottom="1984" w:left="1587" w:header="0" w:footer="1474" w:gutter="0"/>
          <w:cols w:space="425" w:num="1"/>
          <w:docGrid w:type="lines" w:linePitch="312" w:charSpace="0"/>
        </w:sectPr>
      </w:pPr>
    </w:p>
    <w:p>
      <w:pPr>
        <w:pStyle w:val="315"/>
        <w:widowControl/>
        <w:spacing w:line="480" w:lineRule="auto"/>
        <w:ind w:right="42" w:firstLine="0" w:firstLineChars="0"/>
        <w:rPr>
          <w:rFonts w:ascii="黑体" w:hAnsi="黑体" w:eastAsia="黑体"/>
          <w:kern w:val="0"/>
          <w:sz w:val="32"/>
          <w:szCs w:val="28"/>
        </w:rPr>
      </w:pPr>
      <w:r>
        <w:rPr>
          <w:rFonts w:hint="eastAsia" w:ascii="黑体" w:hAnsi="黑体" w:eastAsia="黑体"/>
          <w:kern w:val="0"/>
          <w:sz w:val="32"/>
          <w:szCs w:val="28"/>
        </w:rPr>
        <w:t>附件</w:t>
      </w:r>
      <w:r>
        <w:rPr>
          <w:rFonts w:ascii="黑体" w:hAnsi="黑体" w:eastAsia="黑体"/>
          <w:kern w:val="0"/>
          <w:sz w:val="32"/>
          <w:szCs w:val="28"/>
        </w:rPr>
        <w:t>3</w:t>
      </w:r>
    </w:p>
    <w:p>
      <w:pPr>
        <w:widowControl/>
        <w:spacing w:line="560" w:lineRule="exact"/>
        <w:ind w:right="40"/>
        <w:jc w:val="center"/>
        <w:rPr>
          <w:rFonts w:ascii="宋体" w:hAnsi="宋体"/>
          <w:kern w:val="0"/>
          <w:sz w:val="32"/>
          <w:szCs w:val="32"/>
        </w:rPr>
      </w:pPr>
      <w:r>
        <w:rPr>
          <w:rFonts w:hint="eastAsia" w:ascii="宋体" w:hAnsi="宋体"/>
          <w:b/>
          <w:bCs/>
          <w:spacing w:val="30"/>
          <w:kern w:val="0"/>
          <w:sz w:val="44"/>
          <w:szCs w:val="44"/>
        </w:rPr>
        <w:t>不良行为初步认定告知书（单位）</w:t>
      </w:r>
    </w:p>
    <w:p>
      <w:pPr>
        <w:widowControl/>
        <w:spacing w:line="520" w:lineRule="exact"/>
        <w:ind w:right="42"/>
        <w:jc w:val="center"/>
      </w:pPr>
      <w:r>
        <w:rPr>
          <w:rFonts w:hint="eastAsia" w:ascii="仿宋_GB2312" w:eastAsia="仿宋_GB2312"/>
          <w:kern w:val="0"/>
          <w:sz w:val="24"/>
          <w:u w:val="single"/>
        </w:rPr>
        <w:t xml:space="preserve">  </w:t>
      </w:r>
      <w:r>
        <w:rPr>
          <w:rFonts w:ascii="仿宋_GB2312" w:eastAsia="仿宋_GB2312"/>
          <w:kern w:val="0"/>
          <w:sz w:val="24"/>
          <w:u w:val="single"/>
        </w:rPr>
        <w:t xml:space="preserve">  </w:t>
      </w:r>
      <w:r>
        <w:rPr>
          <w:rFonts w:hint="eastAsia" w:ascii="仿宋_GB2312" w:eastAsia="仿宋_GB2312"/>
          <w:kern w:val="0"/>
          <w:sz w:val="24"/>
          <w:u w:val="single"/>
        </w:rPr>
        <w:t xml:space="preserve"> </w:t>
      </w:r>
      <w:r>
        <w:rPr>
          <w:rFonts w:hint="eastAsia" w:ascii="仿宋_GB2312" w:eastAsia="仿宋_GB2312"/>
          <w:kern w:val="0"/>
          <w:sz w:val="24"/>
        </w:rPr>
        <w:t>初认</w:t>
      </w:r>
      <w:r>
        <w:rPr>
          <w:rFonts w:hint="eastAsia" w:ascii="仿宋_GB2312" w:hAnsi="宋体" w:eastAsia="仿宋_GB2312"/>
          <w:kern w:val="0"/>
          <w:sz w:val="24"/>
        </w:rPr>
        <w:t>〔</w:t>
      </w:r>
      <w:r>
        <w:rPr>
          <w:rFonts w:ascii="仿宋_GB2312" w:hAnsi="宋体" w:eastAsia="仿宋_GB2312"/>
          <w:kern w:val="0"/>
          <w:sz w:val="24"/>
        </w:rPr>
        <w:t xml:space="preserve">   </w:t>
      </w:r>
      <w:r>
        <w:rPr>
          <w:rFonts w:hint="eastAsia" w:ascii="仿宋_GB2312" w:hAnsi="宋体" w:eastAsia="仿宋_GB2312"/>
          <w:kern w:val="0"/>
          <w:sz w:val="24"/>
        </w:rPr>
        <w:t>〕不良</w:t>
      </w:r>
      <w:r>
        <w:rPr>
          <w:rFonts w:ascii="仿宋_GB2312" w:hAnsi="宋体" w:eastAsia="仿宋_GB2312"/>
          <w:kern w:val="0"/>
          <w:sz w:val="24"/>
          <w:u w:val="single"/>
        </w:rPr>
        <w:t xml:space="preserve">  </w:t>
      </w:r>
      <w:r>
        <w:rPr>
          <w:rFonts w:hint="eastAsia" w:ascii="仿宋_GB2312" w:hAnsi="宋体" w:eastAsia="仿宋_GB2312"/>
          <w:kern w:val="0"/>
          <w:sz w:val="24"/>
        </w:rPr>
        <w:t>号</w:t>
      </w:r>
    </w:p>
    <w:p>
      <w:pPr>
        <w:spacing w:line="560" w:lineRule="exact"/>
        <w:rPr>
          <w:rFonts w:ascii="仿宋_GB2312" w:hAnsi="华文仿宋" w:eastAsia="仿宋_GB2312"/>
          <w:sz w:val="32"/>
          <w:szCs w:val="32"/>
        </w:rPr>
      </w:pPr>
    </w:p>
    <w:p>
      <w:pPr>
        <w:spacing w:line="560" w:lineRule="exact"/>
        <w:rPr>
          <w:rFonts w:ascii="仿宋_GB2312" w:hAnsi="华文仿宋" w:eastAsia="仿宋_GB2312"/>
          <w:b/>
          <w:bCs/>
          <w:sz w:val="28"/>
          <w:szCs w:val="28"/>
          <w:u w:val="single"/>
        </w:rPr>
      </w:pPr>
      <w:r>
        <w:rPr>
          <w:rFonts w:hint="eastAsia" w:ascii="仿宋_GB2312" w:hAnsi="华文仿宋" w:eastAsia="仿宋_GB2312"/>
          <w:b/>
          <w:bCs/>
          <w:sz w:val="28"/>
          <w:szCs w:val="28"/>
          <w:u w:val="single"/>
        </w:rPr>
        <w:t xml:space="preserve">       </w:t>
      </w:r>
      <w:r>
        <w:rPr>
          <w:rFonts w:ascii="仿宋_GB2312" w:hAnsi="华文仿宋" w:eastAsia="仿宋_GB2312"/>
          <w:b/>
          <w:bCs/>
          <w:sz w:val="28"/>
          <w:szCs w:val="28"/>
          <w:u w:val="single"/>
        </w:rPr>
        <w:t xml:space="preserve"> </w:t>
      </w:r>
      <w:r>
        <w:rPr>
          <w:rFonts w:hint="eastAsia" w:ascii="仿宋_GB2312" w:hAnsi="华文仿宋" w:eastAsia="仿宋_GB2312"/>
          <w:b/>
          <w:bCs/>
          <w:sz w:val="28"/>
          <w:szCs w:val="28"/>
          <w:u w:val="single"/>
        </w:rPr>
        <w:t xml:space="preserve"> </w:t>
      </w:r>
      <w:r>
        <w:rPr>
          <w:rFonts w:ascii="仿宋_GB2312" w:hAnsi="华文仿宋" w:eastAsia="仿宋_GB2312"/>
          <w:b/>
          <w:bCs/>
          <w:sz w:val="28"/>
          <w:szCs w:val="28"/>
          <w:u w:val="single"/>
        </w:rPr>
        <w:t xml:space="preserve">   </w:t>
      </w:r>
      <w:r>
        <w:rPr>
          <w:rFonts w:hint="eastAsia" w:ascii="仿宋_GB2312" w:hAnsi="华文仿宋" w:eastAsia="仿宋_GB2312"/>
          <w:b/>
          <w:bCs/>
          <w:sz w:val="28"/>
          <w:szCs w:val="28"/>
          <w:u w:val="single"/>
        </w:rPr>
        <w:t>：</w:t>
      </w:r>
    </w:p>
    <w:p>
      <w:pPr>
        <w:autoSpaceDE w:val="0"/>
        <w:autoSpaceDN w:val="0"/>
        <w:adjustRightInd w:val="0"/>
        <w:spacing w:line="520" w:lineRule="exact"/>
        <w:ind w:firstLine="560"/>
        <w:rPr>
          <w:rFonts w:ascii="仿宋_GB2312" w:eastAsia="仿宋_GB2312" w:cs="仿宋_GB2312"/>
          <w:b/>
          <w:bCs/>
          <w:kern w:val="0"/>
          <w:sz w:val="28"/>
          <w:szCs w:val="28"/>
          <w:u w:val="single"/>
        </w:rPr>
      </w:pPr>
      <w:r>
        <w:rPr>
          <w:rFonts w:hint="eastAsia" w:ascii="仿宋_GB2312" w:eastAsia="仿宋_GB2312" w:cs="仿宋_GB2312"/>
          <w:kern w:val="0"/>
          <w:sz w:val="28"/>
          <w:szCs w:val="28"/>
        </w:rPr>
        <w:t>经查，你单位在</w:t>
      </w:r>
      <w:r>
        <w:rPr>
          <w:rFonts w:hint="eastAsia" w:ascii="仿宋_GB2312" w:eastAsia="仿宋_GB2312" w:cs="仿宋_GB2312"/>
          <w:b/>
          <w:bCs/>
          <w:kern w:val="0"/>
          <w:sz w:val="28"/>
          <w:szCs w:val="28"/>
          <w:u w:val="single"/>
        </w:rPr>
        <w:t xml:space="preserve"> </w:t>
      </w:r>
      <w:r>
        <w:rPr>
          <w:rFonts w:ascii="仿宋_GB2312" w:eastAsia="仿宋_GB2312" w:cs="仿宋_GB2312"/>
          <w:b/>
          <w:bCs/>
          <w:kern w:val="0"/>
          <w:sz w:val="28"/>
          <w:szCs w:val="28"/>
          <w:u w:val="single"/>
        </w:rPr>
        <w:t xml:space="preserve">                </w:t>
      </w:r>
      <w:r>
        <w:rPr>
          <w:rFonts w:hint="eastAsia" w:ascii="仿宋_GB2312" w:eastAsia="仿宋_GB2312" w:cs="仿宋_GB2312"/>
          <w:b/>
          <w:bCs/>
          <w:kern w:val="0"/>
          <w:sz w:val="28"/>
          <w:szCs w:val="28"/>
        </w:rPr>
        <w:t>工程</w:t>
      </w:r>
      <w:r>
        <w:rPr>
          <w:rFonts w:hint="eastAsia" w:ascii="仿宋_GB2312" w:eastAsia="仿宋_GB2312" w:cs="仿宋_GB2312"/>
          <w:kern w:val="0"/>
          <w:sz w:val="28"/>
          <w:szCs w:val="28"/>
        </w:rPr>
        <w:t>建设期间，存在</w:t>
      </w:r>
      <w:r>
        <w:rPr>
          <w:rFonts w:hint="eastAsia" w:ascii="仿宋_GB2312" w:eastAsia="仿宋_GB2312" w:cs="仿宋_GB2312"/>
          <w:b/>
          <w:bCs/>
          <w:kern w:val="0"/>
          <w:sz w:val="28"/>
          <w:szCs w:val="28"/>
          <w:u w:val="single"/>
        </w:rPr>
        <w:t xml:space="preserve"> </w:t>
      </w:r>
      <w:r>
        <w:rPr>
          <w:rFonts w:ascii="仿宋_GB2312" w:eastAsia="仿宋_GB2312" w:cs="仿宋_GB2312"/>
          <w:b/>
          <w:bCs/>
          <w:kern w:val="0"/>
          <w:sz w:val="28"/>
          <w:szCs w:val="28"/>
          <w:u w:val="single"/>
        </w:rPr>
        <w:t xml:space="preserve">         </w:t>
      </w:r>
    </w:p>
    <w:p>
      <w:pPr>
        <w:autoSpaceDE w:val="0"/>
        <w:autoSpaceDN w:val="0"/>
        <w:adjustRightInd w:val="0"/>
        <w:spacing w:line="520" w:lineRule="exact"/>
        <w:rPr>
          <w:rFonts w:ascii="仿宋_GB2312" w:eastAsia="仿宋_GB2312" w:cs="仿宋_GB2312"/>
          <w:b/>
          <w:kern w:val="0"/>
          <w:sz w:val="28"/>
          <w:szCs w:val="28"/>
          <w:u w:val="single"/>
        </w:rPr>
      </w:pPr>
      <w:r>
        <w:rPr>
          <w:rFonts w:ascii="仿宋_GB2312" w:eastAsia="仿宋_GB2312" w:cs="仿宋_GB2312"/>
          <w:b/>
          <w:bCs/>
          <w:kern w:val="0"/>
          <w:sz w:val="28"/>
          <w:szCs w:val="28"/>
          <w:u w:val="single"/>
        </w:rPr>
        <w:t xml:space="preserve">                                    </w:t>
      </w:r>
      <w:r>
        <w:rPr>
          <w:rFonts w:hint="eastAsia" w:ascii="仿宋_GB2312" w:eastAsia="仿宋_GB2312" w:cs="仿宋_GB2312"/>
          <w:kern w:val="0"/>
          <w:sz w:val="28"/>
          <w:szCs w:val="28"/>
        </w:rPr>
        <w:t>的行为，</w:t>
      </w:r>
      <w:r>
        <w:rPr>
          <w:rFonts w:hint="eastAsia" w:ascii="仿宋_GB2312" w:eastAsia="仿宋_GB2312" w:cs="仿宋_GB2312"/>
          <w:spacing w:val="20"/>
          <w:kern w:val="0"/>
          <w:sz w:val="28"/>
          <w:szCs w:val="28"/>
        </w:rPr>
        <w:t>根据《</w:t>
      </w:r>
      <w:r>
        <w:rPr>
          <w:rFonts w:hint="eastAsia" w:ascii="仿宋_GB2312" w:hAnsi="宋体" w:eastAsia="仿宋_GB2312" w:cs="仿宋_GB2312"/>
          <w:spacing w:val="20"/>
          <w:kern w:val="0"/>
          <w:sz w:val="28"/>
          <w:szCs w:val="28"/>
        </w:rPr>
        <w:t>深圳市水务建设市场主体不良行为认定及应用管理办法</w:t>
      </w:r>
      <w:r>
        <w:rPr>
          <w:rFonts w:hint="eastAsia" w:ascii="仿宋_GB2312" w:eastAsia="仿宋_GB2312" w:cs="仿宋_GB2312"/>
          <w:spacing w:val="20"/>
          <w:kern w:val="0"/>
          <w:sz w:val="28"/>
          <w:szCs w:val="28"/>
        </w:rPr>
        <w:t>》第</w:t>
      </w:r>
      <w:r>
        <w:rPr>
          <w:rFonts w:hint="eastAsia" w:ascii="仿宋_GB2312" w:eastAsia="仿宋_GB2312" w:cs="仿宋_GB2312"/>
          <w:spacing w:val="20"/>
          <w:kern w:val="0"/>
          <w:sz w:val="28"/>
          <w:szCs w:val="28"/>
          <w:u w:val="single"/>
        </w:rPr>
        <w:t xml:space="preserve"> </w:t>
      </w:r>
      <w:r>
        <w:rPr>
          <w:rFonts w:hint="eastAsia" w:ascii="仿宋_GB2312" w:eastAsia="仿宋_GB2312" w:cs="仿宋_GB2312"/>
          <w:b/>
          <w:spacing w:val="20"/>
          <w:kern w:val="0"/>
          <w:sz w:val="28"/>
          <w:szCs w:val="28"/>
          <w:u w:val="single"/>
        </w:rPr>
        <w:t xml:space="preserve"> </w:t>
      </w:r>
      <w:r>
        <w:rPr>
          <w:rFonts w:ascii="仿宋_GB2312" w:eastAsia="仿宋_GB2312" w:cs="仿宋_GB2312"/>
          <w:b/>
          <w:spacing w:val="20"/>
          <w:kern w:val="0"/>
          <w:sz w:val="28"/>
          <w:szCs w:val="28"/>
          <w:u w:val="single"/>
        </w:rPr>
        <w:t xml:space="preserve"> </w:t>
      </w:r>
      <w:r>
        <w:rPr>
          <w:rFonts w:hint="eastAsia" w:ascii="仿宋_GB2312" w:eastAsia="仿宋_GB2312" w:cs="仿宋_GB2312"/>
          <w:spacing w:val="20"/>
          <w:kern w:val="0"/>
          <w:sz w:val="28"/>
          <w:szCs w:val="28"/>
          <w:u w:val="single"/>
        </w:rPr>
        <w:t xml:space="preserve"> </w:t>
      </w:r>
      <w:r>
        <w:rPr>
          <w:rFonts w:hint="eastAsia" w:ascii="仿宋_GB2312" w:eastAsia="仿宋_GB2312" w:cs="仿宋_GB2312"/>
          <w:spacing w:val="20"/>
          <w:kern w:val="0"/>
          <w:sz w:val="28"/>
          <w:szCs w:val="28"/>
        </w:rPr>
        <w:t>条和《</w:t>
      </w:r>
      <w:r>
        <w:rPr>
          <w:rFonts w:hint="eastAsia" w:ascii="仿宋_GB2312" w:hAnsi="宋体" w:eastAsia="仿宋_GB2312" w:cs="仿宋_GB2312"/>
          <w:spacing w:val="20"/>
          <w:kern w:val="0"/>
          <w:sz w:val="28"/>
          <w:szCs w:val="28"/>
        </w:rPr>
        <w:t>深圳市水务建设市场主体不良行为认定标准</w:t>
      </w:r>
      <w:r>
        <w:rPr>
          <w:rFonts w:hint="eastAsia" w:ascii="仿宋_GB2312" w:eastAsia="仿宋_GB2312" w:cs="仿宋_GB2312"/>
          <w:spacing w:val="20"/>
          <w:kern w:val="0"/>
          <w:sz w:val="28"/>
          <w:szCs w:val="28"/>
        </w:rPr>
        <w:t>》</w:t>
      </w:r>
      <w:r>
        <w:rPr>
          <w:rFonts w:hint="eastAsia" w:ascii="仿宋_GB2312" w:eastAsia="仿宋_GB2312" w:cs="仿宋_GB2312"/>
          <w:kern w:val="0"/>
          <w:sz w:val="28"/>
          <w:szCs w:val="28"/>
        </w:rPr>
        <w:t>第</w:t>
      </w:r>
      <w:r>
        <w:rPr>
          <w:rFonts w:ascii="仿宋_GB2312" w:eastAsia="仿宋_GB2312" w:cs="仿宋_GB2312"/>
          <w:b/>
          <w:bCs/>
          <w:kern w:val="0"/>
          <w:sz w:val="28"/>
          <w:szCs w:val="28"/>
          <w:u w:val="single"/>
        </w:rPr>
        <w:t xml:space="preserve">   </w:t>
      </w:r>
      <w:r>
        <w:rPr>
          <w:rFonts w:hint="eastAsia" w:ascii="仿宋_GB2312" w:eastAsia="仿宋_GB2312" w:cs="仿宋_GB2312"/>
          <w:kern w:val="0"/>
          <w:sz w:val="28"/>
          <w:szCs w:val="28"/>
        </w:rPr>
        <w:t>项规定：</w:t>
      </w:r>
      <w:r>
        <w:rPr>
          <w:rFonts w:hint="eastAsia" w:ascii="仿宋_GB2312" w:eastAsia="仿宋_GB2312" w:cs="仿宋_GB2312"/>
          <w:b/>
          <w:kern w:val="0"/>
          <w:sz w:val="28"/>
          <w:szCs w:val="28"/>
          <w:u w:val="single"/>
        </w:rPr>
        <w:t xml:space="preserve">上述行为被初步认定扣 </w:t>
      </w:r>
      <w:r>
        <w:rPr>
          <w:rFonts w:ascii="仿宋_GB2312" w:eastAsia="仿宋_GB2312" w:cs="仿宋_GB2312"/>
          <w:b/>
          <w:kern w:val="0"/>
          <w:sz w:val="28"/>
          <w:szCs w:val="28"/>
          <w:u w:val="single"/>
        </w:rPr>
        <w:t xml:space="preserve"> </w:t>
      </w:r>
      <w:r>
        <w:rPr>
          <w:rFonts w:hint="eastAsia" w:ascii="仿宋_GB2312" w:eastAsia="仿宋_GB2312" w:cs="仿宋_GB2312"/>
          <w:b/>
          <w:kern w:val="0"/>
          <w:sz w:val="28"/>
          <w:szCs w:val="28"/>
          <w:u w:val="single"/>
        </w:rPr>
        <w:t xml:space="preserve">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轻微</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较</w:t>
      </w:r>
      <w:r>
        <w:rPr>
          <w:rFonts w:ascii="仿宋_GB2312" w:hAnsi="宋体" w:eastAsia="仿宋_GB2312" w:cs="仿宋_GB2312"/>
          <w:b/>
          <w:kern w:val="0"/>
          <w:sz w:val="28"/>
          <w:szCs w:val="28"/>
          <w:u w:val="single"/>
        </w:rPr>
        <w:t>严重/□严重</w:t>
      </w:r>
      <w:r>
        <w:rPr>
          <w:rFonts w:hint="eastAsia" w:ascii="仿宋_GB2312" w:eastAsia="仿宋_GB2312" w:cs="仿宋_GB2312"/>
          <w:b/>
          <w:kern w:val="0"/>
          <w:sz w:val="28"/>
          <w:szCs w:val="28"/>
          <w:u w:val="single"/>
        </w:rPr>
        <w:t>不良行为</w:t>
      </w:r>
      <w:r>
        <w:rPr>
          <w:rFonts w:hint="eastAsia" w:ascii="仿宋_GB2312" w:eastAsia="仿宋_GB2312" w:cs="仿宋_GB2312"/>
          <w:kern w:val="0"/>
          <w:sz w:val="28"/>
          <w:szCs w:val="28"/>
        </w:rPr>
        <w:t>一次。</w:t>
      </w:r>
    </w:p>
    <w:p>
      <w:pPr>
        <w:spacing w:line="52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根据相关规定，现将上述不良行为初步认定情况通知你单位。你单位如需申辩或陈述，请自收到本通知书之日起10个工作日内将相关申辩或陈述材料送达我单位，逾期视为对认定无异议，我单位将作出不良行为认定。</w:t>
      </w:r>
    </w:p>
    <w:p>
      <w:pPr>
        <w:spacing w:line="520" w:lineRule="exact"/>
        <w:ind w:firstLine="960" w:firstLineChars="200"/>
        <w:rPr>
          <w:rFonts w:ascii="仿宋_GB2312" w:hAnsi="Times New Roman" w:eastAsia="仿宋_GB2312"/>
          <w:spacing w:val="100"/>
          <w:kern w:val="0"/>
          <w:sz w:val="28"/>
          <w:szCs w:val="28"/>
        </w:rPr>
      </w:pPr>
    </w:p>
    <w:p>
      <w:pPr>
        <w:widowControl/>
        <w:spacing w:line="560" w:lineRule="exact"/>
        <w:ind w:right="40" w:firstLine="5378" w:firstLineChars="1921"/>
        <w:rPr>
          <w:rFonts w:ascii="仿宋_GB2312" w:hAnsi="Times New Roman" w:eastAsia="仿宋_GB2312"/>
          <w:kern w:val="0"/>
          <w:sz w:val="28"/>
          <w:szCs w:val="28"/>
        </w:rPr>
      </w:pPr>
      <w:r>
        <w:rPr>
          <w:rFonts w:hint="eastAsia" w:ascii="仿宋_GB2312" w:eastAsia="仿宋_GB2312"/>
          <w:kern w:val="0"/>
          <w:sz w:val="28"/>
          <w:szCs w:val="28"/>
        </w:rPr>
        <w:t>认定单位</w:t>
      </w:r>
      <w:r>
        <w:rPr>
          <w:rFonts w:hint="eastAsia" w:ascii="仿宋_GB2312" w:hAnsi="Times New Roman" w:eastAsia="仿宋_GB2312"/>
          <w:kern w:val="0"/>
          <w:sz w:val="28"/>
          <w:szCs w:val="28"/>
        </w:rPr>
        <w:t>（公章）</w:t>
      </w:r>
    </w:p>
    <w:p>
      <w:pPr>
        <w:spacing w:line="560" w:lineRule="exact"/>
        <w:ind w:firstLine="560" w:firstLineChars="200"/>
        <w:jc w:val="center"/>
        <w:rPr>
          <w:rFonts w:ascii="仿宋_GB2312" w:hAnsi="华文仿宋" w:eastAsia="仿宋_GB2312"/>
          <w:sz w:val="28"/>
          <w:szCs w:val="28"/>
        </w:rPr>
      </w:pPr>
      <w:r>
        <w:rPr>
          <w:rFonts w:ascii="仿宋_GB2312" w:hAnsi="Times New Roman" w:eastAsia="仿宋_GB2312"/>
          <w:kern w:val="0"/>
          <w:sz w:val="28"/>
          <w:szCs w:val="28"/>
        </w:rPr>
        <w:t xml:space="preserve">                             </w:t>
      </w:r>
      <w:r>
        <w:rPr>
          <w:rFonts w:hint="eastAsia" w:ascii="仿宋_GB2312" w:hAnsi="Times New Roman" w:eastAsia="仿宋_GB2312"/>
          <w:kern w:val="0"/>
          <w:sz w:val="28"/>
          <w:szCs w:val="28"/>
        </w:rPr>
        <w:t>年</w:t>
      </w:r>
      <w:r>
        <w:rPr>
          <w:rFonts w:ascii="仿宋_GB2312" w:hAnsi="Times New Roman" w:eastAsia="仿宋_GB2312"/>
          <w:kern w:val="0"/>
          <w:sz w:val="28"/>
          <w:szCs w:val="28"/>
        </w:rPr>
        <w:t xml:space="preserve">  </w:t>
      </w:r>
      <w:r>
        <w:rPr>
          <w:rFonts w:hint="eastAsia" w:ascii="仿宋_GB2312" w:hAnsi="Times New Roman" w:eastAsia="仿宋_GB2312"/>
          <w:kern w:val="0"/>
          <w:sz w:val="28"/>
          <w:szCs w:val="28"/>
        </w:rPr>
        <w:t>月</w:t>
      </w:r>
      <w:r>
        <w:rPr>
          <w:rFonts w:ascii="仿宋_GB2312" w:hAnsi="Times New Roman" w:eastAsia="仿宋_GB2312"/>
          <w:kern w:val="0"/>
          <w:sz w:val="28"/>
          <w:szCs w:val="28"/>
        </w:rPr>
        <w:t xml:space="preserve">  </w:t>
      </w:r>
      <w:r>
        <w:rPr>
          <w:rFonts w:hint="eastAsia" w:ascii="仿宋_GB2312" w:hAnsi="Times New Roman" w:eastAsia="仿宋_GB2312"/>
          <w:kern w:val="0"/>
          <w:sz w:val="28"/>
          <w:szCs w:val="28"/>
        </w:rPr>
        <w:t>日</w:t>
      </w:r>
    </w:p>
    <w:p>
      <w:pPr>
        <w:spacing w:line="560" w:lineRule="exact"/>
        <w:ind w:firstLine="560" w:firstLineChars="200"/>
        <w:rPr>
          <w:rFonts w:ascii="仿宋_GB2312" w:eastAsia="仿宋_GB2312"/>
          <w:kern w:val="0"/>
          <w:sz w:val="28"/>
          <w:szCs w:val="28"/>
        </w:rPr>
      </w:pPr>
    </w:p>
    <w:p>
      <w:pPr>
        <w:spacing w:line="560" w:lineRule="exact"/>
        <w:ind w:firstLine="560" w:firstLineChars="200"/>
        <w:rPr>
          <w:rFonts w:ascii="仿宋_GB2312" w:eastAsia="仿宋_GB2312"/>
          <w:spacing w:val="-20"/>
          <w:kern w:val="0"/>
          <w:sz w:val="28"/>
          <w:szCs w:val="28"/>
        </w:rPr>
      </w:pPr>
      <w:r>
        <w:rPr>
          <w:rFonts w:hint="eastAsia" w:ascii="仿宋_GB2312" w:eastAsia="仿宋_GB2312"/>
          <w:kern w:val="0"/>
          <w:sz w:val="28"/>
          <w:szCs w:val="28"/>
        </w:rPr>
        <w:t>说明：</w:t>
      </w:r>
      <w:r>
        <w:rPr>
          <w:rFonts w:hint="eastAsia" w:ascii="仿宋_GB2312" w:eastAsia="仿宋_GB2312"/>
          <w:spacing w:val="-20"/>
          <w:kern w:val="0"/>
          <w:sz w:val="28"/>
          <w:szCs w:val="28"/>
        </w:rPr>
        <w:t>本通知书一式三份，认定单位、被认定单位、申报单位各执一份。</w:t>
      </w:r>
    </w:p>
    <w:p>
      <w:pPr>
        <w:spacing w:line="560" w:lineRule="exact"/>
        <w:rPr>
          <w:rFonts w:ascii="仿宋_GB2312" w:eastAsia="仿宋_GB2312"/>
          <w:kern w:val="0"/>
          <w:szCs w:val="21"/>
        </w:rPr>
      </w:pPr>
    </w:p>
    <w:p>
      <w:pPr>
        <w:spacing w:line="560" w:lineRule="exact"/>
        <w:ind w:firstLine="735" w:firstLineChars="350"/>
        <w:rPr>
          <w:rFonts w:ascii="仿宋_GB2312" w:eastAsia="仿宋_GB2312"/>
          <w:kern w:val="0"/>
          <w:szCs w:val="21"/>
        </w:rPr>
      </w:pPr>
      <w:r>
        <w:rPr>
          <w:rFonts w:hint="eastAsia" w:ascii="仿宋_GB2312" w:eastAsia="仿宋_GB2312"/>
          <w:kern w:val="0"/>
          <w:szCs w:val="21"/>
        </w:rPr>
        <w:t>签收人（市场主体项目负责人）：                       签收时间：</w:t>
      </w:r>
    </w:p>
    <w:p>
      <w:pPr>
        <w:ind w:firstLine="505" w:firstLineChars="250"/>
        <w:rPr>
          <w:rFonts w:ascii="仿宋_GB2312" w:eastAsia="仿宋_GB2312"/>
          <w:spacing w:val="-4"/>
          <w:kern w:val="0"/>
          <w:szCs w:val="21"/>
        </w:rPr>
      </w:pPr>
    </w:p>
    <w:p>
      <w:pPr>
        <w:pStyle w:val="315"/>
        <w:widowControl/>
        <w:spacing w:line="480" w:lineRule="auto"/>
        <w:ind w:right="42" w:firstLine="0" w:firstLineChars="0"/>
        <w:rPr>
          <w:rFonts w:ascii="黑体" w:hAnsi="黑体" w:eastAsia="黑体"/>
          <w:kern w:val="0"/>
          <w:sz w:val="32"/>
          <w:szCs w:val="28"/>
        </w:rPr>
      </w:pPr>
      <w:r>
        <w:rPr>
          <w:rFonts w:hint="eastAsia" w:ascii="仿宋_GB2312" w:eastAsia="仿宋_GB2312"/>
          <w:spacing w:val="-4"/>
          <w:kern w:val="0"/>
          <w:szCs w:val="21"/>
        </w:rPr>
        <w:t>（提示：我单位已于年月日将本通知书向被认定单位邮寄□送达/□寄出。）</w:t>
      </w:r>
    </w:p>
    <w:p>
      <w:pPr>
        <w:pStyle w:val="315"/>
        <w:widowControl/>
        <w:spacing w:line="480" w:lineRule="auto"/>
        <w:ind w:right="42" w:firstLine="0" w:firstLineChars="0"/>
        <w:rPr>
          <w:rFonts w:ascii="黑体" w:hAnsi="黑体" w:eastAsia="黑体"/>
          <w:kern w:val="0"/>
          <w:sz w:val="32"/>
          <w:szCs w:val="28"/>
        </w:rPr>
        <w:sectPr>
          <w:pgSz w:w="11906" w:h="16838"/>
          <w:pgMar w:top="2098" w:right="1474" w:bottom="1984" w:left="1587" w:header="0" w:footer="1474" w:gutter="0"/>
          <w:cols w:space="425" w:num="1"/>
          <w:docGrid w:type="lines" w:linePitch="312" w:charSpace="0"/>
        </w:sectPr>
      </w:pPr>
    </w:p>
    <w:p>
      <w:pPr>
        <w:pStyle w:val="315"/>
        <w:widowControl/>
        <w:spacing w:line="480" w:lineRule="auto"/>
        <w:ind w:right="42" w:firstLine="0" w:firstLineChars="0"/>
        <w:rPr>
          <w:rFonts w:ascii="黑体" w:hAnsi="黑体" w:eastAsia="黑体"/>
          <w:kern w:val="0"/>
          <w:sz w:val="32"/>
          <w:szCs w:val="28"/>
        </w:rPr>
      </w:pPr>
      <w:r>
        <w:rPr>
          <w:rFonts w:hint="eastAsia" w:ascii="黑体" w:hAnsi="黑体" w:eastAsia="黑体"/>
          <w:kern w:val="0"/>
          <w:sz w:val="32"/>
          <w:szCs w:val="28"/>
        </w:rPr>
        <w:t>附件</w:t>
      </w:r>
      <w:r>
        <w:rPr>
          <w:rFonts w:ascii="黑体" w:hAnsi="黑体" w:eastAsia="黑体"/>
          <w:kern w:val="0"/>
          <w:sz w:val="32"/>
          <w:szCs w:val="28"/>
        </w:rPr>
        <w:t>4</w:t>
      </w:r>
    </w:p>
    <w:p>
      <w:pPr>
        <w:widowControl/>
        <w:spacing w:line="360" w:lineRule="auto"/>
        <w:ind w:right="42"/>
        <w:jc w:val="center"/>
        <w:rPr>
          <w:rFonts w:ascii="宋体" w:hAnsi="宋体"/>
          <w:kern w:val="0"/>
          <w:sz w:val="32"/>
          <w:szCs w:val="32"/>
        </w:rPr>
      </w:pPr>
      <w:r>
        <w:rPr>
          <w:rFonts w:hint="eastAsia" w:ascii="宋体" w:hAnsi="宋体"/>
          <w:b/>
          <w:bCs/>
          <w:spacing w:val="30"/>
          <w:kern w:val="0"/>
          <w:sz w:val="44"/>
          <w:szCs w:val="44"/>
        </w:rPr>
        <w:t>不良行为初步认定告知书（个人）</w:t>
      </w:r>
    </w:p>
    <w:p>
      <w:pPr>
        <w:widowControl/>
        <w:spacing w:line="480" w:lineRule="auto"/>
        <w:ind w:right="42"/>
        <w:jc w:val="center"/>
        <w:rPr>
          <w:rFonts w:ascii="仿宋_GB2312" w:eastAsia="仿宋_GB2312"/>
          <w:kern w:val="0"/>
          <w:sz w:val="32"/>
          <w:szCs w:val="32"/>
        </w:rPr>
      </w:pPr>
      <w:r>
        <w:rPr>
          <w:rFonts w:hint="eastAsia" w:ascii="仿宋_GB2312" w:eastAsia="仿宋_GB2312"/>
          <w:kern w:val="0"/>
          <w:sz w:val="24"/>
          <w:u w:val="single"/>
        </w:rPr>
        <w:t xml:space="preserve">    </w:t>
      </w:r>
      <w:r>
        <w:rPr>
          <w:rFonts w:hint="eastAsia" w:ascii="仿宋_GB2312" w:eastAsia="仿宋_GB2312"/>
          <w:kern w:val="0"/>
          <w:sz w:val="24"/>
        </w:rPr>
        <w:t>初认</w:t>
      </w:r>
      <w:r>
        <w:rPr>
          <w:rFonts w:hint="eastAsia" w:ascii="仿宋_GB2312" w:hAnsi="宋体" w:eastAsia="仿宋_GB2312"/>
          <w:kern w:val="0"/>
          <w:sz w:val="24"/>
        </w:rPr>
        <w:t>〔    〕不良  号</w:t>
      </w:r>
    </w:p>
    <w:p>
      <w:pPr>
        <w:widowControl/>
        <w:spacing w:line="540" w:lineRule="exact"/>
        <w:ind w:right="42"/>
        <w:rPr>
          <w:rFonts w:ascii="仿宋_GB2312" w:eastAsia="仿宋_GB2312"/>
          <w:kern w:val="0"/>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pStyle w:val="315"/>
        <w:widowControl/>
        <w:spacing w:line="540" w:lineRule="exact"/>
        <w:ind w:right="42" w:firstLine="700" w:firstLineChars="250"/>
        <w:rPr>
          <w:rFonts w:ascii="仿宋_GB2312" w:eastAsia="仿宋_GB2312"/>
          <w:kern w:val="0"/>
          <w:sz w:val="28"/>
          <w:szCs w:val="28"/>
          <w:u w:val="single"/>
        </w:rPr>
      </w:pPr>
      <w:r>
        <w:rPr>
          <w:rFonts w:hint="eastAsia" w:ascii="仿宋_GB2312" w:eastAsia="仿宋_GB2312"/>
          <w:kern w:val="0"/>
          <w:sz w:val="28"/>
          <w:szCs w:val="28"/>
        </w:rPr>
        <w:t>经查，你任职的单位在</w:t>
      </w:r>
      <w:r>
        <w:rPr>
          <w:rFonts w:hint="eastAsia" w:ascii="仿宋_GB2312" w:eastAsia="仿宋_GB2312"/>
          <w:kern w:val="0"/>
          <w:sz w:val="28"/>
          <w:szCs w:val="28"/>
          <w:u w:val="single"/>
        </w:rPr>
        <w:t xml:space="preserve">               </w:t>
      </w:r>
      <w:r>
        <w:rPr>
          <w:rFonts w:hint="eastAsia" w:ascii="仿宋_GB2312" w:eastAsia="仿宋_GB2312" w:cs="仿宋_GB2312"/>
          <w:b/>
          <w:bCs/>
          <w:kern w:val="0"/>
          <w:sz w:val="28"/>
          <w:szCs w:val="28"/>
        </w:rPr>
        <w:t>工程</w:t>
      </w:r>
      <w:r>
        <w:rPr>
          <w:rFonts w:hint="eastAsia" w:ascii="仿宋_GB2312" w:eastAsia="仿宋_GB2312"/>
          <w:kern w:val="0"/>
          <w:sz w:val="28"/>
          <w:szCs w:val="28"/>
        </w:rPr>
        <w:t>建设期间存在</w:t>
      </w:r>
      <w:r>
        <w:rPr>
          <w:rFonts w:hint="eastAsia" w:ascii="仿宋_GB2312" w:eastAsia="仿宋_GB2312"/>
          <w:kern w:val="0"/>
          <w:sz w:val="28"/>
          <w:szCs w:val="28"/>
          <w:u w:val="single"/>
        </w:rPr>
        <w:t xml:space="preserve">       </w:t>
      </w:r>
    </w:p>
    <w:p>
      <w:pPr>
        <w:pStyle w:val="315"/>
        <w:widowControl/>
        <w:spacing w:line="540" w:lineRule="exact"/>
        <w:ind w:right="42" w:firstLine="0" w:firstLineChars="0"/>
        <w:jc w:val="left"/>
        <w:rPr>
          <w:rFonts w:ascii="仿宋_GB2312" w:eastAsia="仿宋_GB2312"/>
          <w:kern w:val="0"/>
          <w:sz w:val="28"/>
          <w:szCs w:val="28"/>
        </w:rPr>
      </w:pPr>
      <w:r>
        <w:rPr>
          <w:rFonts w:hint="eastAsia" w:ascii="仿宋_GB2312" w:eastAsia="仿宋_GB2312"/>
          <w:kern w:val="0"/>
          <w:sz w:val="28"/>
          <w:szCs w:val="28"/>
          <w:u w:val="single"/>
        </w:rPr>
        <w:t xml:space="preserve">                                                       </w:t>
      </w:r>
      <w:r>
        <w:rPr>
          <w:rFonts w:hint="eastAsia" w:ascii="仿宋_GB2312" w:eastAsia="仿宋_GB2312"/>
          <w:kern w:val="0"/>
          <w:sz w:val="28"/>
          <w:szCs w:val="28"/>
        </w:rPr>
        <w:t>的行为，</w:t>
      </w:r>
      <w:r>
        <w:rPr>
          <w:rFonts w:hint="eastAsia" w:ascii="仿宋_GB2312" w:eastAsia="仿宋_GB2312"/>
          <w:spacing w:val="20"/>
          <w:kern w:val="0"/>
          <w:sz w:val="28"/>
          <w:szCs w:val="28"/>
        </w:rPr>
        <w:t>根据《</w:t>
      </w:r>
      <w:r>
        <w:rPr>
          <w:rFonts w:hint="eastAsia" w:ascii="仿宋_GB2312" w:hAnsi="宋体" w:eastAsia="仿宋_GB2312"/>
          <w:spacing w:val="20"/>
          <w:sz w:val="28"/>
          <w:szCs w:val="28"/>
        </w:rPr>
        <w:t>深圳市水务建设市场主体不良行为认定及应用管理办法</w:t>
      </w:r>
      <w:r>
        <w:rPr>
          <w:rFonts w:hint="eastAsia" w:ascii="仿宋_GB2312" w:eastAsia="仿宋_GB2312"/>
          <w:spacing w:val="20"/>
          <w:kern w:val="0"/>
          <w:sz w:val="28"/>
          <w:szCs w:val="28"/>
        </w:rPr>
        <w:t>》第</w:t>
      </w:r>
      <w:r>
        <w:rPr>
          <w:rFonts w:hint="eastAsia" w:ascii="仿宋_GB2312" w:eastAsia="仿宋_GB2312"/>
          <w:spacing w:val="20"/>
          <w:kern w:val="0"/>
          <w:sz w:val="28"/>
          <w:szCs w:val="28"/>
          <w:u w:val="single"/>
        </w:rPr>
        <w:t xml:space="preserve">   </w:t>
      </w:r>
      <w:r>
        <w:rPr>
          <w:rFonts w:hint="eastAsia" w:ascii="仿宋_GB2312" w:eastAsia="仿宋_GB2312"/>
          <w:spacing w:val="20"/>
          <w:kern w:val="0"/>
          <w:sz w:val="28"/>
          <w:szCs w:val="28"/>
        </w:rPr>
        <w:t>条和《</w:t>
      </w:r>
      <w:r>
        <w:rPr>
          <w:rFonts w:hint="eastAsia" w:ascii="仿宋_GB2312" w:hAnsi="宋体" w:eastAsia="仿宋_GB2312"/>
          <w:spacing w:val="20"/>
          <w:sz w:val="28"/>
          <w:szCs w:val="28"/>
        </w:rPr>
        <w:t>深圳市水务建设市场不良行为认定标准</w:t>
      </w:r>
      <w:r>
        <w:rPr>
          <w:rFonts w:hint="eastAsia" w:ascii="仿宋_GB2312" w:eastAsia="仿宋_GB2312"/>
          <w:spacing w:val="20"/>
          <w:kern w:val="0"/>
          <w:sz w:val="28"/>
          <w:szCs w:val="28"/>
        </w:rPr>
        <w:t>》</w:t>
      </w:r>
      <w:r>
        <w:rPr>
          <w:rFonts w:hint="eastAsia" w:ascii="仿宋_GB2312" w:eastAsia="仿宋_GB2312"/>
          <w:kern w:val="0"/>
          <w:sz w:val="28"/>
          <w:szCs w:val="28"/>
        </w:rPr>
        <w:t>第</w:t>
      </w:r>
      <w:r>
        <w:rPr>
          <w:rFonts w:hint="eastAsia" w:ascii="仿宋_GB2312" w:eastAsia="仿宋_GB2312"/>
          <w:kern w:val="0"/>
          <w:sz w:val="28"/>
          <w:szCs w:val="28"/>
          <w:u w:val="single"/>
        </w:rPr>
        <w:t xml:space="preserve">   </w:t>
      </w:r>
      <w:r>
        <w:rPr>
          <w:rFonts w:hint="eastAsia" w:ascii="仿宋_GB2312" w:eastAsia="仿宋_GB2312"/>
          <w:kern w:val="0"/>
          <w:sz w:val="28"/>
          <w:szCs w:val="28"/>
        </w:rPr>
        <w:t>项规定：</w:t>
      </w:r>
      <w:r>
        <w:rPr>
          <w:rFonts w:hint="eastAsia" w:ascii="仿宋_GB2312" w:eastAsia="仿宋_GB2312"/>
          <w:b/>
          <w:kern w:val="0"/>
          <w:sz w:val="28"/>
          <w:szCs w:val="28"/>
          <w:u w:val="single"/>
        </w:rPr>
        <w:t>上述行为被初步认定扣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hint="eastAsia" w:ascii="仿宋_GB2312" w:hAnsi="宋体" w:eastAsia="仿宋_GB2312"/>
          <w:b/>
          <w:sz w:val="28"/>
          <w:szCs w:val="28"/>
          <w:u w:val="single"/>
        </w:rPr>
        <w:t>□轻微</w:t>
      </w:r>
      <w:r>
        <w:rPr>
          <w:rFonts w:ascii="仿宋_GB2312" w:hAnsi="宋体" w:eastAsia="仿宋_GB2312"/>
          <w:b/>
          <w:sz w:val="28"/>
          <w:szCs w:val="28"/>
          <w:u w:val="single"/>
        </w:rPr>
        <w:t>/□</w:t>
      </w:r>
      <w:r>
        <w:rPr>
          <w:rFonts w:hint="eastAsia" w:ascii="仿宋_GB2312" w:hAnsi="宋体" w:eastAsia="仿宋_GB2312"/>
          <w:b/>
          <w:sz w:val="28"/>
          <w:szCs w:val="28"/>
          <w:u w:val="single"/>
        </w:rPr>
        <w:t>较</w:t>
      </w:r>
      <w:r>
        <w:rPr>
          <w:rFonts w:ascii="仿宋_GB2312" w:hAnsi="宋体" w:eastAsia="仿宋_GB2312"/>
          <w:b/>
          <w:sz w:val="28"/>
          <w:szCs w:val="28"/>
          <w:u w:val="single"/>
        </w:rPr>
        <w:t>严重/□严重</w:t>
      </w:r>
      <w:r>
        <w:rPr>
          <w:rFonts w:hint="eastAsia" w:ascii="仿宋_GB2312" w:eastAsia="仿宋_GB2312"/>
          <w:b/>
          <w:kern w:val="0"/>
          <w:sz w:val="28"/>
          <w:szCs w:val="28"/>
          <w:u w:val="single"/>
        </w:rPr>
        <w:t>不良行为</w:t>
      </w:r>
      <w:r>
        <w:rPr>
          <w:rFonts w:hint="eastAsia" w:ascii="仿宋_GB2312" w:eastAsia="仿宋_GB2312"/>
          <w:kern w:val="0"/>
          <w:sz w:val="28"/>
          <w:szCs w:val="28"/>
        </w:rPr>
        <w:t>一次。你系</w:t>
      </w:r>
      <w:r>
        <w:rPr>
          <w:rFonts w:hint="eastAsia" w:ascii="仿宋_GB2312" w:hAnsi="宋体" w:eastAsia="仿宋_GB2312"/>
          <w:sz w:val="28"/>
          <w:szCs w:val="28"/>
        </w:rPr>
        <w:t>□</w:t>
      </w:r>
      <w:r>
        <w:rPr>
          <w:rFonts w:hint="eastAsia" w:ascii="仿宋_GB2312" w:eastAsia="仿宋_GB2312"/>
          <w:kern w:val="0"/>
          <w:sz w:val="28"/>
          <w:szCs w:val="28"/>
        </w:rPr>
        <w:t>该单位法定代表人/</w:t>
      </w:r>
      <w:r>
        <w:rPr>
          <w:rFonts w:hint="eastAsia" w:ascii="仿宋_GB2312" w:hAnsi="宋体" w:eastAsia="仿宋_GB2312"/>
          <w:sz w:val="28"/>
          <w:szCs w:val="28"/>
        </w:rPr>
        <w:t>□</w:t>
      </w:r>
      <w:r>
        <w:rPr>
          <w:rFonts w:hint="eastAsia" w:ascii="仿宋_GB2312" w:eastAsia="仿宋_GB2312"/>
          <w:kern w:val="0"/>
          <w:sz w:val="28"/>
          <w:szCs w:val="28"/>
        </w:rPr>
        <w:t>该项目负责人，同时被认定扣</w:t>
      </w:r>
      <w:r>
        <w:rPr>
          <w:rFonts w:hint="eastAsia" w:ascii="仿宋_GB2312" w:eastAsia="仿宋_GB2312"/>
          <w:b/>
          <w:kern w:val="0"/>
          <w:sz w:val="28"/>
          <w:szCs w:val="28"/>
          <w:u w:val="single"/>
        </w:rPr>
        <w:t xml:space="preserve">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hint="eastAsia" w:ascii="仿宋_GB2312" w:hAnsi="宋体" w:eastAsia="仿宋_GB2312"/>
          <w:b/>
          <w:sz w:val="28"/>
          <w:szCs w:val="28"/>
          <w:u w:val="single"/>
        </w:rPr>
        <w:t>□轻微</w:t>
      </w:r>
      <w:r>
        <w:rPr>
          <w:rFonts w:ascii="仿宋_GB2312" w:hAnsi="宋体" w:eastAsia="仿宋_GB2312"/>
          <w:b/>
          <w:sz w:val="28"/>
          <w:szCs w:val="28"/>
          <w:u w:val="single"/>
        </w:rPr>
        <w:t>/□</w:t>
      </w:r>
      <w:r>
        <w:rPr>
          <w:rFonts w:hint="eastAsia" w:ascii="仿宋_GB2312" w:hAnsi="宋体" w:eastAsia="仿宋_GB2312"/>
          <w:b/>
          <w:sz w:val="28"/>
          <w:szCs w:val="28"/>
          <w:u w:val="single"/>
        </w:rPr>
        <w:t>较</w:t>
      </w:r>
      <w:r>
        <w:rPr>
          <w:rFonts w:ascii="仿宋_GB2312" w:hAnsi="宋体" w:eastAsia="仿宋_GB2312"/>
          <w:b/>
          <w:sz w:val="28"/>
          <w:szCs w:val="28"/>
          <w:u w:val="single"/>
        </w:rPr>
        <w:t>严重/□严重</w:t>
      </w:r>
      <w:r>
        <w:rPr>
          <w:rFonts w:hint="eastAsia" w:ascii="仿宋_GB2312" w:eastAsia="仿宋_GB2312"/>
          <w:b/>
          <w:kern w:val="0"/>
          <w:sz w:val="28"/>
          <w:szCs w:val="28"/>
          <w:u w:val="single"/>
        </w:rPr>
        <w:t>不良行为</w:t>
      </w:r>
      <w:r>
        <w:rPr>
          <w:rFonts w:hint="eastAsia" w:ascii="仿宋_GB2312" w:eastAsia="仿宋_GB2312"/>
          <w:kern w:val="0"/>
          <w:sz w:val="28"/>
          <w:szCs w:val="28"/>
        </w:rPr>
        <w:t>一次。</w:t>
      </w:r>
    </w:p>
    <w:p>
      <w:pPr>
        <w:pStyle w:val="315"/>
        <w:spacing w:line="540" w:lineRule="exact"/>
        <w:ind w:firstLine="560"/>
        <w:rPr>
          <w:rFonts w:ascii="仿宋_GB2312" w:eastAsia="仿宋_GB2312"/>
          <w:spacing w:val="100"/>
          <w:kern w:val="0"/>
          <w:sz w:val="28"/>
          <w:szCs w:val="28"/>
        </w:rPr>
      </w:pPr>
      <w:r>
        <w:rPr>
          <w:rFonts w:hint="eastAsia" w:ascii="仿宋_GB2312" w:eastAsia="仿宋_GB2312"/>
          <w:kern w:val="0"/>
          <w:sz w:val="28"/>
          <w:szCs w:val="28"/>
        </w:rPr>
        <w:t>根据相关规定，现将上述不良行为初步认定情况通知你本人。你本人如需申辩或陈述，请自收到本通知书之日起10个工作日内备齐相关申辩或陈述材料向我单位提出书面申辩或陈述，逾期我单位将作出不良行为认定。</w:t>
      </w:r>
    </w:p>
    <w:p>
      <w:pPr>
        <w:widowControl/>
        <w:spacing w:line="540" w:lineRule="exact"/>
        <w:ind w:left="3780" w:leftChars="1800" w:right="40" w:firstLine="1680" w:firstLineChars="600"/>
        <w:rPr>
          <w:rFonts w:ascii="仿宋_GB2312" w:eastAsia="仿宋_GB2312"/>
          <w:kern w:val="0"/>
          <w:sz w:val="28"/>
          <w:szCs w:val="28"/>
        </w:rPr>
      </w:pPr>
      <w:r>
        <w:rPr>
          <w:rFonts w:hint="eastAsia" w:ascii="仿宋_GB2312" w:eastAsia="仿宋_GB2312"/>
          <w:kern w:val="0"/>
          <w:sz w:val="28"/>
          <w:szCs w:val="28"/>
        </w:rPr>
        <w:t>认定单位：（公章）</w:t>
      </w:r>
    </w:p>
    <w:p>
      <w:pPr>
        <w:widowControl/>
        <w:spacing w:line="540" w:lineRule="exact"/>
        <w:ind w:right="42" w:firstLine="994" w:firstLineChars="355"/>
        <w:rPr>
          <w:rFonts w:ascii="仿宋_GB2312" w:eastAsia="仿宋_GB2312"/>
          <w:kern w:val="0"/>
          <w:sz w:val="28"/>
          <w:szCs w:val="28"/>
        </w:rPr>
      </w:pPr>
      <w:r>
        <w:rPr>
          <w:rFonts w:hint="eastAsia" w:ascii="仿宋_GB2312" w:eastAsia="仿宋_GB2312"/>
          <w:kern w:val="0"/>
          <w:sz w:val="28"/>
          <w:szCs w:val="28"/>
        </w:rPr>
        <w:t xml:space="preserve">                      </w:t>
      </w:r>
      <w:r>
        <w:rPr>
          <w:rFonts w:ascii="仿宋_GB2312" w:eastAsia="仿宋_GB2312"/>
          <w:kern w:val="0"/>
          <w:sz w:val="28"/>
          <w:szCs w:val="28"/>
        </w:rPr>
        <w:t xml:space="preserve">      </w:t>
      </w:r>
      <w:r>
        <w:rPr>
          <w:rFonts w:hint="eastAsia" w:ascii="仿宋_GB2312" w:eastAsia="仿宋_GB2312"/>
          <w:kern w:val="0"/>
          <w:sz w:val="28"/>
          <w:szCs w:val="28"/>
        </w:rPr>
        <w:t xml:space="preserve">       年   月   日</w:t>
      </w:r>
    </w:p>
    <w:p>
      <w:pPr>
        <w:spacing w:line="540" w:lineRule="exact"/>
        <w:ind w:firstLine="560" w:firstLineChars="200"/>
        <w:rPr>
          <w:rFonts w:ascii="仿宋_GB2312" w:eastAsia="仿宋_GB2312"/>
          <w:kern w:val="0"/>
          <w:sz w:val="28"/>
          <w:szCs w:val="28"/>
        </w:rPr>
      </w:pPr>
      <w:r>
        <w:rPr>
          <w:rFonts w:hint="eastAsia" w:ascii="仿宋_GB2312" w:eastAsia="仿宋_GB2312"/>
          <w:kern w:val="0"/>
          <w:sz w:val="28"/>
          <w:szCs w:val="28"/>
        </w:rPr>
        <w:t>说明：本通知书一式三份，初步认定单位、被认定个人、申报单位各执一份。</w:t>
      </w:r>
    </w:p>
    <w:p>
      <w:pPr>
        <w:spacing w:line="540" w:lineRule="exact"/>
        <w:ind w:firstLine="630" w:firstLineChars="300"/>
        <w:rPr>
          <w:rFonts w:ascii="仿宋_GB2312" w:eastAsia="仿宋_GB2312"/>
          <w:kern w:val="0"/>
          <w:sz w:val="28"/>
          <w:szCs w:val="28"/>
        </w:rPr>
      </w:pPr>
      <w:r>
        <w:rPr>
          <w:rFonts w:hint="eastAsia" w:ascii="仿宋_GB2312" w:eastAsia="仿宋_GB2312"/>
          <w:kern w:val="0"/>
          <w:szCs w:val="21"/>
        </w:rPr>
        <w:t>签收人（市场主体项目负责人/法定代表人）：                  签收时间：</w:t>
      </w:r>
    </w:p>
    <w:p>
      <w:pPr>
        <w:spacing w:line="540" w:lineRule="exact"/>
        <w:ind w:firstLine="560" w:firstLineChars="200"/>
        <w:rPr>
          <w:rFonts w:ascii="仿宋_GB2312" w:hAnsi="宋体" w:eastAsia="仿宋_GB2312"/>
          <w:kern w:val="0"/>
          <w:sz w:val="28"/>
          <w:szCs w:val="28"/>
        </w:rPr>
        <w:sectPr>
          <w:pgSz w:w="11906" w:h="16838"/>
          <w:pgMar w:top="2098" w:right="1474" w:bottom="1984" w:left="1587" w:header="0" w:footer="1474" w:gutter="0"/>
          <w:cols w:space="425" w:num="1"/>
          <w:docGrid w:type="lines" w:linePitch="312" w:charSpace="0"/>
        </w:sectPr>
      </w:pPr>
    </w:p>
    <w:p>
      <w:pPr>
        <w:pStyle w:val="315"/>
        <w:widowControl/>
        <w:spacing w:line="480" w:lineRule="auto"/>
        <w:ind w:right="42" w:firstLine="0" w:firstLineChars="0"/>
        <w:rPr>
          <w:rFonts w:ascii="黑体" w:hAnsi="黑体" w:eastAsia="黑体"/>
          <w:kern w:val="0"/>
          <w:sz w:val="32"/>
          <w:szCs w:val="28"/>
        </w:rPr>
      </w:pPr>
      <w:r>
        <w:rPr>
          <w:rFonts w:hint="eastAsia" w:ascii="黑体" w:hAnsi="黑体" w:eastAsia="黑体"/>
          <w:kern w:val="0"/>
          <w:sz w:val="32"/>
          <w:szCs w:val="28"/>
        </w:rPr>
        <w:t>附件</w:t>
      </w:r>
      <w:r>
        <w:rPr>
          <w:rFonts w:ascii="黑体" w:hAnsi="黑体" w:eastAsia="黑体"/>
          <w:kern w:val="0"/>
          <w:sz w:val="32"/>
          <w:szCs w:val="28"/>
        </w:rPr>
        <w:t>5</w:t>
      </w:r>
    </w:p>
    <w:p>
      <w:pPr>
        <w:widowControl/>
        <w:adjustRightInd w:val="0"/>
        <w:snapToGrid w:val="0"/>
        <w:spacing w:line="440" w:lineRule="exact"/>
        <w:ind w:right="40"/>
        <w:jc w:val="center"/>
        <w:rPr>
          <w:rFonts w:ascii="宋体" w:hAnsi="宋体" w:cs="宋体"/>
          <w:kern w:val="0"/>
          <w:sz w:val="32"/>
          <w:szCs w:val="32"/>
        </w:rPr>
      </w:pPr>
      <w:r>
        <w:rPr>
          <w:rFonts w:hint="eastAsia" w:ascii="宋体" w:hAnsi="宋体" w:cs="宋体"/>
          <w:b/>
          <w:bCs/>
          <w:spacing w:val="30"/>
          <w:kern w:val="0"/>
          <w:sz w:val="44"/>
          <w:szCs w:val="44"/>
        </w:rPr>
        <w:t>不良行为认定通知书(</w:t>
      </w:r>
      <w:r>
        <w:rPr>
          <w:rFonts w:hint="eastAsia" w:ascii="宋体" w:hAnsi="宋体"/>
          <w:b/>
          <w:bCs/>
          <w:spacing w:val="30"/>
          <w:kern w:val="0"/>
          <w:sz w:val="44"/>
          <w:szCs w:val="44"/>
        </w:rPr>
        <w:t>单位</w:t>
      </w:r>
      <w:r>
        <w:rPr>
          <w:rFonts w:hint="eastAsia" w:ascii="宋体" w:hAnsi="宋体" w:cs="宋体"/>
          <w:b/>
          <w:bCs/>
          <w:spacing w:val="30"/>
          <w:kern w:val="0"/>
          <w:sz w:val="44"/>
          <w:szCs w:val="44"/>
        </w:rPr>
        <w:t>)</w:t>
      </w:r>
    </w:p>
    <w:p>
      <w:pPr>
        <w:widowControl/>
        <w:adjustRightInd w:val="0"/>
        <w:snapToGrid w:val="0"/>
        <w:spacing w:line="440" w:lineRule="exact"/>
        <w:ind w:right="42"/>
        <w:jc w:val="center"/>
        <w:rPr>
          <w:rFonts w:ascii="仿宋_GB2312" w:eastAsia="仿宋_GB2312"/>
          <w:kern w:val="0"/>
          <w:sz w:val="32"/>
          <w:szCs w:val="32"/>
        </w:rPr>
      </w:pPr>
      <w:r>
        <w:rPr>
          <w:rFonts w:hint="eastAsia" w:ascii="仿宋_GB2312" w:eastAsia="仿宋_GB2312"/>
          <w:kern w:val="0"/>
          <w:sz w:val="24"/>
          <w:u w:val="single"/>
        </w:rPr>
        <w:t xml:space="preserve">  </w:t>
      </w:r>
      <w:r>
        <w:rPr>
          <w:rFonts w:ascii="仿宋_GB2312" w:eastAsia="仿宋_GB2312"/>
          <w:kern w:val="0"/>
          <w:sz w:val="24"/>
          <w:u w:val="single"/>
        </w:rPr>
        <w:t xml:space="preserve">    </w:t>
      </w:r>
      <w:r>
        <w:rPr>
          <w:rFonts w:hint="eastAsia" w:ascii="仿宋_GB2312" w:eastAsia="仿宋_GB2312"/>
          <w:kern w:val="0"/>
          <w:sz w:val="24"/>
          <w:u w:val="single"/>
        </w:rPr>
        <w:t xml:space="preserve"> </w:t>
      </w:r>
      <w:r>
        <w:rPr>
          <w:rFonts w:hint="eastAsia" w:ascii="仿宋_GB2312" w:eastAsia="仿宋_GB2312"/>
          <w:kern w:val="0"/>
          <w:sz w:val="24"/>
        </w:rPr>
        <w:t>认</w:t>
      </w:r>
      <w:r>
        <w:rPr>
          <w:rFonts w:hint="eastAsia" w:ascii="仿宋_GB2312" w:hAnsi="宋体" w:eastAsia="仿宋_GB2312"/>
          <w:kern w:val="0"/>
          <w:sz w:val="24"/>
        </w:rPr>
        <w:t>〔</w:t>
      </w:r>
      <w:r>
        <w:rPr>
          <w:rFonts w:ascii="仿宋_GB2312" w:hAnsi="宋体" w:eastAsia="仿宋_GB2312"/>
          <w:kern w:val="0"/>
          <w:sz w:val="24"/>
        </w:rPr>
        <w:t xml:space="preserve">    </w:t>
      </w:r>
      <w:r>
        <w:rPr>
          <w:rFonts w:hint="eastAsia" w:ascii="仿宋_GB2312" w:hAnsi="宋体" w:eastAsia="仿宋_GB2312"/>
          <w:kern w:val="0"/>
          <w:sz w:val="24"/>
        </w:rPr>
        <w:t>〕不良</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r>
        <w:rPr>
          <w:rFonts w:hint="eastAsia" w:ascii="仿宋_GB2312" w:hAnsi="宋体" w:eastAsia="仿宋_GB2312"/>
          <w:kern w:val="0"/>
          <w:sz w:val="24"/>
          <w:u w:val="single"/>
        </w:rPr>
        <w:t xml:space="preserve"> </w:t>
      </w:r>
      <w:r>
        <w:rPr>
          <w:rFonts w:hint="eastAsia" w:ascii="仿宋_GB2312" w:hAnsi="宋体" w:eastAsia="仿宋_GB2312"/>
          <w:kern w:val="0"/>
          <w:sz w:val="24"/>
        </w:rPr>
        <w:t>号</w:t>
      </w:r>
    </w:p>
    <w:p>
      <w:pPr>
        <w:widowControl/>
        <w:adjustRightInd w:val="0"/>
        <w:snapToGrid w:val="0"/>
        <w:spacing w:line="440" w:lineRule="exact"/>
        <w:ind w:right="42"/>
        <w:rPr>
          <w:rFonts w:ascii="仿宋_GB2312" w:hAnsi="宋体" w:eastAsia="仿宋_GB2312"/>
          <w:b/>
          <w:kern w:val="0"/>
          <w:sz w:val="28"/>
          <w:szCs w:val="28"/>
          <w:u w:val="single"/>
        </w:rPr>
      </w:pPr>
    </w:p>
    <w:p>
      <w:pPr>
        <w:adjustRightInd w:val="0"/>
        <w:snapToGrid w:val="0"/>
        <w:spacing w:line="440" w:lineRule="exact"/>
        <w:rPr>
          <w:rFonts w:ascii="仿宋_GB2312" w:hAnsi="华文仿宋" w:eastAsia="仿宋_GB2312"/>
          <w:b/>
          <w:bCs/>
          <w:sz w:val="28"/>
          <w:szCs w:val="28"/>
          <w:u w:val="single"/>
        </w:rPr>
      </w:pPr>
      <w:r>
        <w:rPr>
          <w:rFonts w:hint="eastAsia" w:ascii="仿宋_GB2312" w:hAnsi="华文仿宋" w:eastAsia="仿宋_GB2312"/>
          <w:b/>
          <w:bCs/>
          <w:sz w:val="28"/>
          <w:szCs w:val="28"/>
          <w:u w:val="single"/>
        </w:rPr>
        <w:t xml:space="preserve"> </w:t>
      </w:r>
      <w:r>
        <w:rPr>
          <w:rFonts w:ascii="仿宋_GB2312" w:hAnsi="华文仿宋" w:eastAsia="仿宋_GB2312"/>
          <w:b/>
          <w:bCs/>
          <w:sz w:val="28"/>
          <w:szCs w:val="28"/>
          <w:u w:val="single"/>
        </w:rPr>
        <w:t xml:space="preserve">               </w:t>
      </w:r>
      <w:r>
        <w:rPr>
          <w:rFonts w:hint="eastAsia" w:ascii="仿宋_GB2312" w:hAnsi="华文仿宋" w:eastAsia="仿宋_GB2312"/>
          <w:b/>
          <w:bCs/>
          <w:sz w:val="28"/>
          <w:szCs w:val="28"/>
          <w:u w:val="single"/>
        </w:rPr>
        <w:t>：</w:t>
      </w:r>
    </w:p>
    <w:p>
      <w:pPr>
        <w:widowControl/>
        <w:adjustRightInd w:val="0"/>
        <w:snapToGrid w:val="0"/>
        <w:spacing w:line="440" w:lineRule="exact"/>
        <w:ind w:right="42" w:firstLine="700" w:firstLineChars="250"/>
        <w:jc w:val="left"/>
        <w:rPr>
          <w:rFonts w:ascii="仿宋_GB2312" w:eastAsia="仿宋_GB2312" w:cs="仿宋_GB2312"/>
          <w:b/>
          <w:bCs/>
          <w:kern w:val="0"/>
          <w:sz w:val="28"/>
          <w:szCs w:val="28"/>
          <w:u w:val="single"/>
        </w:rPr>
      </w:pPr>
      <w:r>
        <w:rPr>
          <w:rFonts w:hint="eastAsia" w:ascii="仿宋_GB2312" w:eastAsia="仿宋_GB2312" w:cs="仿宋_GB2312"/>
          <w:kern w:val="0"/>
          <w:sz w:val="28"/>
          <w:szCs w:val="28"/>
        </w:rPr>
        <w:t>经查，你单位在</w:t>
      </w:r>
      <w:r>
        <w:rPr>
          <w:rFonts w:hint="eastAsia" w:ascii="仿宋_GB2312" w:eastAsia="仿宋_GB2312" w:cs="仿宋_GB2312"/>
          <w:b/>
          <w:bCs/>
          <w:kern w:val="0"/>
          <w:sz w:val="28"/>
          <w:szCs w:val="28"/>
          <w:u w:val="single"/>
        </w:rPr>
        <w:t xml:space="preserve"> </w:t>
      </w:r>
      <w:r>
        <w:rPr>
          <w:rFonts w:ascii="仿宋_GB2312" w:eastAsia="仿宋_GB2312" w:cs="仿宋_GB2312"/>
          <w:b/>
          <w:bCs/>
          <w:kern w:val="0"/>
          <w:sz w:val="28"/>
          <w:szCs w:val="28"/>
          <w:u w:val="single"/>
        </w:rPr>
        <w:t xml:space="preserve">                     </w:t>
      </w:r>
      <w:r>
        <w:rPr>
          <w:rFonts w:hint="eastAsia" w:ascii="仿宋_GB2312" w:eastAsia="仿宋_GB2312" w:cs="仿宋_GB2312"/>
          <w:b/>
          <w:bCs/>
          <w:kern w:val="0"/>
          <w:sz w:val="28"/>
          <w:szCs w:val="28"/>
        </w:rPr>
        <w:t>工程</w:t>
      </w:r>
      <w:r>
        <w:rPr>
          <w:rFonts w:hint="eastAsia" w:ascii="仿宋_GB2312" w:eastAsia="仿宋_GB2312" w:cs="仿宋_GB2312"/>
          <w:kern w:val="0"/>
          <w:sz w:val="28"/>
          <w:szCs w:val="28"/>
        </w:rPr>
        <w:t>建设期间，存在</w:t>
      </w:r>
    </w:p>
    <w:p>
      <w:pPr>
        <w:widowControl/>
        <w:adjustRightInd w:val="0"/>
        <w:snapToGrid w:val="0"/>
        <w:spacing w:line="440" w:lineRule="exact"/>
        <w:ind w:right="42"/>
        <w:jc w:val="left"/>
        <w:rPr>
          <w:rFonts w:ascii="仿宋_GB2312" w:eastAsia="仿宋_GB2312"/>
          <w:kern w:val="0"/>
          <w:sz w:val="28"/>
          <w:szCs w:val="28"/>
        </w:rPr>
      </w:pPr>
      <w:r>
        <w:rPr>
          <w:rFonts w:ascii="仿宋_GB2312" w:eastAsia="仿宋_GB2312" w:cs="仿宋_GB2312"/>
          <w:b/>
          <w:bCs/>
          <w:kern w:val="0"/>
          <w:sz w:val="28"/>
          <w:szCs w:val="28"/>
          <w:u w:val="single"/>
        </w:rPr>
        <w:t xml:space="preserve">                          </w:t>
      </w:r>
      <w:r>
        <w:rPr>
          <w:rFonts w:hint="eastAsia" w:ascii="仿宋_GB2312" w:eastAsia="仿宋_GB2312" w:cs="仿宋_GB2312"/>
          <w:kern w:val="0"/>
          <w:sz w:val="28"/>
          <w:szCs w:val="28"/>
        </w:rPr>
        <w:t>的行为，</w:t>
      </w:r>
      <w:r>
        <w:rPr>
          <w:rFonts w:hint="eastAsia" w:ascii="仿宋_GB2312" w:eastAsia="仿宋_GB2312"/>
          <w:kern w:val="0"/>
          <w:sz w:val="28"/>
          <w:szCs w:val="28"/>
        </w:rPr>
        <w:t>我单位已于</w:t>
      </w:r>
      <w:r>
        <w:rPr>
          <w:rFonts w:ascii="仿宋_GB2312" w:hAnsi="Times New Roman" w:eastAsia="仿宋_GB2312"/>
          <w:b/>
          <w:kern w:val="0"/>
          <w:sz w:val="28"/>
          <w:szCs w:val="28"/>
          <w:u w:val="single"/>
        </w:rPr>
        <w:t xml:space="preserve">    </w:t>
      </w:r>
      <w:r>
        <w:rPr>
          <w:rFonts w:hint="eastAsia" w:ascii="仿宋_GB2312" w:eastAsia="仿宋_GB2312"/>
          <w:kern w:val="0"/>
          <w:sz w:val="28"/>
          <w:szCs w:val="28"/>
        </w:rPr>
        <w:t>年</w:t>
      </w:r>
      <w:r>
        <w:rPr>
          <w:rFonts w:hint="eastAsia" w:ascii="仿宋_GB2312" w:hAnsi="Times New Roman" w:eastAsia="仿宋_GB2312"/>
          <w:kern w:val="0"/>
          <w:sz w:val="28"/>
          <w:szCs w:val="28"/>
        </w:rPr>
        <w:t xml:space="preserve"> </w:t>
      </w:r>
      <w:r>
        <w:rPr>
          <w:rFonts w:ascii="仿宋_GB2312" w:hAnsi="Times New Roman" w:eastAsia="仿宋_GB2312"/>
          <w:b/>
          <w:kern w:val="0"/>
          <w:sz w:val="28"/>
          <w:szCs w:val="28"/>
          <w:u w:val="single"/>
        </w:rPr>
        <w:t xml:space="preserve"> </w:t>
      </w:r>
      <w:r>
        <w:rPr>
          <w:rFonts w:hint="eastAsia" w:ascii="仿宋_GB2312" w:eastAsia="仿宋_GB2312"/>
          <w:kern w:val="0"/>
          <w:sz w:val="28"/>
          <w:szCs w:val="28"/>
        </w:rPr>
        <w:t>月</w:t>
      </w:r>
      <w:r>
        <w:rPr>
          <w:rFonts w:ascii="仿宋_GB2312" w:hAnsi="Times New Roman" w:eastAsia="仿宋_GB2312"/>
          <w:b/>
          <w:kern w:val="0"/>
          <w:sz w:val="28"/>
          <w:szCs w:val="28"/>
          <w:u w:val="single"/>
        </w:rPr>
        <w:t xml:space="preserve">  </w:t>
      </w:r>
      <w:r>
        <w:rPr>
          <w:rFonts w:hint="eastAsia" w:ascii="仿宋_GB2312" w:eastAsia="仿宋_GB2312"/>
          <w:kern w:val="0"/>
          <w:sz w:val="28"/>
          <w:szCs w:val="28"/>
        </w:rPr>
        <w:t>日将《不良行为初步认定告知书》（深水务初认〔</w:t>
      </w:r>
      <w:r>
        <w:rPr>
          <w:rFonts w:ascii="仿宋_GB2312" w:hAnsi="Times New Roman" w:eastAsia="仿宋_GB2312"/>
          <w:kern w:val="0"/>
          <w:sz w:val="28"/>
          <w:szCs w:val="28"/>
        </w:rPr>
        <w:t xml:space="preserve">   </w:t>
      </w:r>
      <w:r>
        <w:rPr>
          <w:rFonts w:hint="eastAsia" w:ascii="仿宋_GB2312" w:eastAsia="仿宋_GB2312"/>
          <w:kern w:val="0"/>
          <w:sz w:val="28"/>
          <w:szCs w:val="28"/>
        </w:rPr>
        <w:t>〕不良</w:t>
      </w:r>
      <w:r>
        <w:rPr>
          <w:rFonts w:ascii="仿宋_GB2312" w:hAnsi="Times New Roman" w:eastAsia="仿宋_GB2312"/>
          <w:kern w:val="0"/>
          <w:sz w:val="28"/>
          <w:szCs w:val="28"/>
        </w:rPr>
        <w:t xml:space="preserve">  </w:t>
      </w:r>
      <w:r>
        <w:rPr>
          <w:rFonts w:hint="eastAsia" w:ascii="仿宋_GB2312" w:eastAsia="仿宋_GB2312"/>
          <w:kern w:val="0"/>
          <w:sz w:val="28"/>
          <w:szCs w:val="28"/>
        </w:rPr>
        <w:t>号）邮寄送达你单位。</w:t>
      </w:r>
    </w:p>
    <w:p>
      <w:pPr>
        <w:widowControl/>
        <w:adjustRightInd w:val="0"/>
        <w:snapToGrid w:val="0"/>
        <w:spacing w:line="440" w:lineRule="exact"/>
        <w:ind w:right="42" w:firstLine="560" w:firstLineChars="200"/>
        <w:jc w:val="left"/>
        <w:rPr>
          <w:rFonts w:ascii="仿宋_GB2312" w:eastAsia="仿宋_GB2312"/>
          <w:kern w:val="0"/>
          <w:sz w:val="28"/>
          <w:szCs w:val="28"/>
        </w:rPr>
      </w:pPr>
      <w:r>
        <w:rPr>
          <w:rFonts w:hint="eastAsia" w:ascii="仿宋_GB2312" w:eastAsia="仿宋_GB2312"/>
          <w:kern w:val="0"/>
          <w:sz w:val="28"/>
          <w:szCs w:val="28"/>
        </w:rPr>
        <w:t>根据《</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》第</w:t>
      </w:r>
      <w:r>
        <w:rPr>
          <w:rFonts w:hint="eastAsia" w:ascii="仿宋_GB2312" w:hAnsi="Times New Roman" w:eastAsia="仿宋_GB2312"/>
          <w:kern w:val="0"/>
          <w:sz w:val="28"/>
          <w:szCs w:val="28"/>
          <w:u w:val="single"/>
        </w:rPr>
        <w:t xml:space="preserve"> </w:t>
      </w:r>
      <w:r>
        <w:rPr>
          <w:rFonts w:hint="eastAsia" w:ascii="仿宋_GB2312" w:hAnsi="Times New Roman" w:eastAsia="仿宋_GB2312"/>
          <w:b/>
          <w:kern w:val="0"/>
          <w:sz w:val="28"/>
          <w:szCs w:val="28"/>
          <w:u w:val="single"/>
        </w:rPr>
        <w:t xml:space="preserve"> </w:t>
      </w:r>
      <w:r>
        <w:rPr>
          <w:rFonts w:ascii="仿宋_GB2312" w:eastAsia="仿宋_GB2312" w:cs="仿宋_GB2312"/>
          <w:b/>
          <w:bCs/>
          <w:kern w:val="0"/>
          <w:sz w:val="28"/>
          <w:szCs w:val="28"/>
          <w:u w:val="single"/>
        </w:rPr>
        <w:t xml:space="preserve">   </w:t>
      </w:r>
      <w:r>
        <w:rPr>
          <w:rFonts w:hint="eastAsia" w:ascii="仿宋_GB2312" w:eastAsia="仿宋_GB2312"/>
          <w:kern w:val="0"/>
          <w:sz w:val="28"/>
          <w:szCs w:val="28"/>
        </w:rPr>
        <w:t>条规定，鉴于你单位未在规定时限内将陈述或申辩书面材料送达我单位，视为你单位对不良行为初步认定结果无异议。据此，我单位现对</w:t>
      </w:r>
      <w:r>
        <w:rPr>
          <w:rFonts w:hint="eastAsia" w:ascii="仿宋_GB2312" w:eastAsia="仿宋_GB2312"/>
          <w:spacing w:val="-20"/>
          <w:kern w:val="0"/>
          <w:sz w:val="28"/>
          <w:szCs w:val="28"/>
        </w:rPr>
        <w:t>上述行为予以</w:t>
      </w:r>
      <w:r>
        <w:rPr>
          <w:rFonts w:hint="eastAsia" w:ascii="仿宋_GB2312" w:eastAsia="仿宋_GB2312"/>
          <w:kern w:val="0"/>
          <w:sz w:val="28"/>
          <w:szCs w:val="28"/>
        </w:rPr>
        <w:t>不良行为认定，扣</w:t>
      </w:r>
      <w:r>
        <w:rPr>
          <w:rFonts w:hint="eastAsia" w:ascii="仿宋_GB2312" w:eastAsia="仿宋_GB2312"/>
          <w:b/>
          <w:bCs/>
          <w:kern w:val="0"/>
          <w:sz w:val="28"/>
          <w:szCs w:val="28"/>
          <w:u w:val="single"/>
        </w:rPr>
        <w:t xml:space="preserve"> </w:t>
      </w:r>
      <w:r>
        <w:rPr>
          <w:rFonts w:ascii="仿宋_GB2312" w:hAnsi="Times New Roman" w:eastAsia="仿宋_GB2312"/>
          <w:b/>
          <w:bCs/>
          <w:kern w:val="0"/>
          <w:sz w:val="28"/>
          <w:szCs w:val="28"/>
          <w:u w:val="single"/>
        </w:rPr>
        <w:t xml:space="preserve"> </w:t>
      </w:r>
      <w:r>
        <w:rPr>
          <w:rFonts w:hint="eastAsia" w:ascii="仿宋_GB2312" w:eastAsia="仿宋_GB2312"/>
          <w:b/>
          <w:bCs/>
          <w:kern w:val="0"/>
          <w:sz w:val="28"/>
          <w:szCs w:val="28"/>
          <w:u w:val="single"/>
        </w:rPr>
        <w:t xml:space="preserve">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轻微</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较</w:t>
      </w:r>
      <w:r>
        <w:rPr>
          <w:rFonts w:ascii="仿宋_GB2312" w:hAnsi="宋体" w:eastAsia="仿宋_GB2312" w:cs="仿宋_GB2312"/>
          <w:b/>
          <w:kern w:val="0"/>
          <w:sz w:val="28"/>
          <w:szCs w:val="28"/>
          <w:u w:val="single"/>
        </w:rPr>
        <w:t>严重/□严重</w:t>
      </w:r>
      <w:r>
        <w:rPr>
          <w:rFonts w:hint="eastAsia" w:ascii="仿宋_GB2312" w:eastAsia="仿宋_GB2312" w:cs="仿宋_GB2312"/>
          <w:b/>
          <w:kern w:val="0"/>
          <w:sz w:val="28"/>
          <w:szCs w:val="28"/>
          <w:u w:val="single"/>
        </w:rPr>
        <w:t>不良行为</w:t>
      </w:r>
      <w:r>
        <w:rPr>
          <w:rFonts w:hint="eastAsia" w:ascii="仿宋_GB2312" w:eastAsia="仿宋_GB2312" w:cs="仿宋_GB2312"/>
          <w:kern w:val="0"/>
          <w:sz w:val="28"/>
          <w:szCs w:val="28"/>
        </w:rPr>
        <w:t>一次</w:t>
      </w:r>
      <w:r>
        <w:rPr>
          <w:rFonts w:hint="eastAsia" w:ascii="仿宋_GB2312" w:eastAsia="仿宋_GB2312"/>
          <w:kern w:val="0"/>
          <w:sz w:val="28"/>
          <w:szCs w:val="28"/>
        </w:rPr>
        <w:t>。</w:t>
      </w:r>
    </w:p>
    <w:p>
      <w:pPr>
        <w:widowControl/>
        <w:adjustRightInd w:val="0"/>
        <w:snapToGrid w:val="0"/>
        <w:spacing w:line="440" w:lineRule="exact"/>
        <w:ind w:right="42" w:firstLine="560" w:firstLineChars="200"/>
        <w:jc w:val="left"/>
        <w:rPr>
          <w:rFonts w:ascii="仿宋_GB2312" w:eastAsia="仿宋_GB2312"/>
          <w:kern w:val="0"/>
          <w:sz w:val="28"/>
          <w:szCs w:val="28"/>
        </w:rPr>
      </w:pPr>
      <w:r>
        <w:rPr>
          <w:rFonts w:hint="eastAsia" w:ascii="仿宋_GB2312" w:hAnsi="宋体" w:eastAsia="仿宋_GB2312"/>
          <w:sz w:val="28"/>
          <w:szCs w:val="28"/>
        </w:rPr>
        <w:t>□</w:t>
      </w:r>
      <w:r>
        <w:rPr>
          <w:rFonts w:hint="eastAsia" w:ascii="仿宋_GB2312" w:eastAsia="仿宋_GB2312"/>
          <w:kern w:val="0"/>
          <w:sz w:val="28"/>
          <w:szCs w:val="28"/>
        </w:rPr>
        <w:t>根据《</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》第</w:t>
      </w:r>
      <w:r>
        <w:rPr>
          <w:rFonts w:hint="eastAsia" w:ascii="仿宋_GB2312" w:eastAsia="仿宋_GB2312"/>
          <w:kern w:val="0"/>
          <w:sz w:val="28"/>
          <w:szCs w:val="28"/>
          <w:u w:val="single"/>
        </w:rPr>
        <w:t xml:space="preserve">    </w:t>
      </w:r>
      <w:r>
        <w:rPr>
          <w:rFonts w:hint="eastAsia" w:ascii="仿宋_GB2312" w:eastAsia="仿宋_GB2312"/>
          <w:kern w:val="0"/>
          <w:sz w:val="28"/>
          <w:szCs w:val="28"/>
        </w:rPr>
        <w:t>条及附件</w:t>
      </w:r>
      <w:r>
        <w:rPr>
          <w:rFonts w:ascii="仿宋_GB2312" w:eastAsia="仿宋_GB2312"/>
          <w:kern w:val="0"/>
          <w:sz w:val="28"/>
          <w:szCs w:val="28"/>
        </w:rPr>
        <w:t>8</w:t>
      </w:r>
      <w:r>
        <w:rPr>
          <w:rFonts w:hint="eastAsia" w:ascii="仿宋_GB2312" w:eastAsia="仿宋_GB2312"/>
          <w:kern w:val="0"/>
          <w:sz w:val="28"/>
          <w:szCs w:val="28"/>
        </w:rPr>
        <w:t>第</w:t>
      </w:r>
      <w:r>
        <w:rPr>
          <w:rFonts w:hint="eastAsia" w:ascii="仿宋_GB2312" w:eastAsia="仿宋_GB2312"/>
          <w:kern w:val="0"/>
          <w:sz w:val="28"/>
          <w:szCs w:val="28"/>
          <w:u w:val="single"/>
        </w:rPr>
        <w:t xml:space="preserve">  </w:t>
      </w:r>
      <w:r>
        <w:rPr>
          <w:rFonts w:hint="eastAsia" w:ascii="仿宋_GB2312" w:eastAsia="仿宋_GB2312"/>
          <w:kern w:val="0"/>
          <w:sz w:val="28"/>
          <w:szCs w:val="28"/>
        </w:rPr>
        <w:t>款规定，拒绝你单位</w:t>
      </w:r>
      <w:r>
        <w:rPr>
          <w:rFonts w:hint="eastAsia" w:ascii="仿宋_GB2312" w:eastAsia="仿宋_GB2312"/>
          <w:kern w:val="0"/>
          <w:sz w:val="28"/>
          <w:szCs w:val="28"/>
          <w:u w:val="single"/>
        </w:rPr>
        <w:t xml:space="preserve">    </w:t>
      </w:r>
      <w:r>
        <w:rPr>
          <w:rFonts w:hint="eastAsia" w:ascii="仿宋_GB2312" w:eastAsia="仿宋_GB2312"/>
          <w:kern w:val="0"/>
          <w:sz w:val="28"/>
          <w:szCs w:val="28"/>
        </w:rPr>
        <w:t>内（即：</w:t>
      </w: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日至</w:t>
      </w: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日）参加深圳市水务建设市场投标（含自行采购）活动。</w:t>
      </w:r>
    </w:p>
    <w:p>
      <w:pPr>
        <w:adjustRightInd w:val="0"/>
        <w:snapToGrid w:val="0"/>
        <w:spacing w:line="440" w:lineRule="exact"/>
        <w:ind w:firstLine="544" w:firstLineChars="200"/>
        <w:rPr>
          <w:rFonts w:ascii="仿宋_GB2312" w:eastAsia="仿宋_GB2312"/>
          <w:spacing w:val="-4"/>
          <w:kern w:val="0"/>
          <w:sz w:val="28"/>
          <w:szCs w:val="28"/>
        </w:rPr>
      </w:pPr>
      <w:r>
        <w:rPr>
          <w:rFonts w:hint="eastAsia" w:ascii="仿宋_GB2312" w:eastAsia="仿宋_GB2312"/>
          <w:spacing w:val="-4"/>
          <w:kern w:val="0"/>
          <w:sz w:val="28"/>
          <w:szCs w:val="28"/>
        </w:rPr>
        <w:t>上述信息将按照《深圳市水务建设市场主体不良行为认定及应用管理办法》规定，录入你单位信用档案并按规定报送上级水行政主管部门及住房建设等相关部门。</w:t>
      </w:r>
    </w:p>
    <w:p>
      <w:pPr>
        <w:widowControl/>
        <w:adjustRightInd w:val="0"/>
        <w:snapToGrid w:val="0"/>
        <w:spacing w:line="440" w:lineRule="exact"/>
        <w:ind w:right="42" w:firstLine="560" w:firstLineChars="200"/>
        <w:jc w:val="left"/>
        <w:rPr>
          <w:rFonts w:ascii="仿宋_GB2312" w:eastAsia="仿宋_GB2312"/>
          <w:kern w:val="0"/>
          <w:sz w:val="28"/>
          <w:szCs w:val="28"/>
        </w:rPr>
      </w:pPr>
      <w:r>
        <w:rPr>
          <w:rFonts w:hint="eastAsia" w:ascii="仿宋_GB2312" w:eastAsia="仿宋_GB2312"/>
          <w:kern w:val="0"/>
          <w:sz w:val="28"/>
          <w:szCs w:val="28"/>
        </w:rPr>
        <w:t>你单位如对本决定不服，可在收到本通知书之日起六十日内向深圳市人民政府或广东省水利厅申请行政复议，也可在收到本通知书之日起六个月内直接向深圳市</w:t>
      </w:r>
      <w:r>
        <w:rPr>
          <w:rFonts w:hint="eastAsia" w:ascii="仿宋_GB2312" w:eastAsia="仿宋_GB2312"/>
          <w:kern w:val="0"/>
          <w:sz w:val="28"/>
          <w:szCs w:val="28"/>
          <w:u w:val="single"/>
        </w:rPr>
        <w:t xml:space="preserve"> </w:t>
      </w:r>
      <w:r>
        <w:rPr>
          <w:rFonts w:ascii="仿宋_GB2312" w:eastAsia="仿宋_GB2312"/>
          <w:kern w:val="0"/>
          <w:sz w:val="28"/>
          <w:szCs w:val="28"/>
          <w:u w:val="single"/>
        </w:rPr>
        <w:t xml:space="preserve">   </w:t>
      </w:r>
      <w:r>
        <w:rPr>
          <w:rFonts w:hint="eastAsia" w:ascii="仿宋_GB2312" w:eastAsia="仿宋_GB2312"/>
          <w:kern w:val="0"/>
          <w:sz w:val="28"/>
          <w:szCs w:val="28"/>
        </w:rPr>
        <w:t>人民法院提起行政诉讼。</w:t>
      </w:r>
    </w:p>
    <w:p>
      <w:pPr>
        <w:widowControl/>
        <w:adjustRightInd w:val="0"/>
        <w:snapToGrid w:val="0"/>
        <w:spacing w:line="440" w:lineRule="exact"/>
        <w:ind w:right="40" w:firstLine="4818" w:firstLineChars="1721"/>
        <w:rPr>
          <w:rFonts w:ascii="仿宋_GB2312" w:eastAsia="仿宋_GB2312"/>
          <w:kern w:val="0"/>
          <w:sz w:val="28"/>
          <w:szCs w:val="28"/>
        </w:rPr>
      </w:pPr>
    </w:p>
    <w:p>
      <w:pPr>
        <w:widowControl/>
        <w:adjustRightInd w:val="0"/>
        <w:snapToGrid w:val="0"/>
        <w:spacing w:line="440" w:lineRule="exact"/>
        <w:ind w:right="40"/>
        <w:rPr>
          <w:rFonts w:ascii="仿宋_GB2312" w:eastAsia="仿宋_GB2312"/>
          <w:kern w:val="0"/>
          <w:sz w:val="28"/>
          <w:szCs w:val="28"/>
        </w:rPr>
      </w:pPr>
      <w:r>
        <w:rPr>
          <w:rFonts w:hint="eastAsia" w:ascii="仿宋_GB2312" w:eastAsia="仿宋_GB2312"/>
          <w:kern w:val="0"/>
          <w:sz w:val="28"/>
          <w:szCs w:val="28"/>
        </w:rPr>
        <w:t xml:space="preserve"> </w:t>
      </w:r>
      <w:r>
        <w:rPr>
          <w:rFonts w:ascii="仿宋_GB2312" w:eastAsia="仿宋_GB2312"/>
          <w:kern w:val="0"/>
          <w:sz w:val="28"/>
          <w:szCs w:val="28"/>
        </w:rPr>
        <w:t xml:space="preserve">                                      </w:t>
      </w:r>
      <w:r>
        <w:rPr>
          <w:rFonts w:hint="eastAsia" w:ascii="仿宋_GB2312" w:eastAsia="仿宋_GB2312"/>
          <w:kern w:val="0"/>
          <w:sz w:val="28"/>
          <w:szCs w:val="28"/>
        </w:rPr>
        <w:t>认定单位（公章）</w:t>
      </w:r>
    </w:p>
    <w:p>
      <w:pPr>
        <w:widowControl/>
        <w:adjustRightInd w:val="0"/>
        <w:snapToGrid w:val="0"/>
        <w:spacing w:line="440" w:lineRule="exact"/>
        <w:ind w:right="1162"/>
        <w:jc w:val="right"/>
        <w:rPr>
          <w:rFonts w:ascii="仿宋_GB2312" w:eastAsia="仿宋_GB2312"/>
          <w:kern w:val="0"/>
          <w:sz w:val="28"/>
          <w:szCs w:val="28"/>
        </w:rPr>
      </w:pPr>
      <w:r>
        <w:rPr>
          <w:rFonts w:hint="eastAsia" w:ascii="仿宋_GB2312" w:eastAsia="仿宋_GB2312"/>
          <w:kern w:val="0"/>
          <w:sz w:val="28"/>
          <w:szCs w:val="28"/>
        </w:rPr>
        <w:t>年</w:t>
      </w:r>
      <w:r>
        <w:rPr>
          <w:rFonts w:ascii="仿宋_GB2312" w:eastAsia="仿宋_GB2312"/>
          <w:kern w:val="0"/>
          <w:sz w:val="28"/>
          <w:szCs w:val="28"/>
        </w:rPr>
        <w:t xml:space="preserve">  </w:t>
      </w:r>
      <w:r>
        <w:rPr>
          <w:rFonts w:hint="eastAsia" w:ascii="仿宋_GB2312" w:eastAsia="仿宋_GB2312"/>
          <w:kern w:val="0"/>
          <w:sz w:val="28"/>
          <w:szCs w:val="28"/>
        </w:rPr>
        <w:t>月</w:t>
      </w:r>
      <w:r>
        <w:rPr>
          <w:rFonts w:ascii="仿宋_GB2312" w:eastAsia="仿宋_GB2312"/>
          <w:kern w:val="0"/>
          <w:sz w:val="28"/>
          <w:szCs w:val="28"/>
        </w:rPr>
        <w:t xml:space="preserve">  </w:t>
      </w:r>
      <w:r>
        <w:rPr>
          <w:rFonts w:hint="eastAsia" w:ascii="仿宋_GB2312" w:eastAsia="仿宋_GB2312"/>
          <w:kern w:val="0"/>
          <w:sz w:val="28"/>
          <w:szCs w:val="28"/>
        </w:rPr>
        <w:t xml:space="preserve">日 </w:t>
      </w:r>
    </w:p>
    <w:p>
      <w:pPr>
        <w:widowControl/>
        <w:adjustRightInd w:val="0"/>
        <w:snapToGrid w:val="0"/>
        <w:spacing w:line="440" w:lineRule="exact"/>
        <w:ind w:right="42"/>
        <w:jc w:val="right"/>
        <w:rPr>
          <w:rFonts w:ascii="仿宋_GB2312" w:eastAsia="仿宋_GB2312"/>
          <w:kern w:val="0"/>
          <w:sz w:val="28"/>
          <w:szCs w:val="28"/>
        </w:rPr>
      </w:pPr>
      <w:r>
        <w:rPr>
          <w:rFonts w:hint="eastAsia" w:ascii="仿宋_GB2312" w:eastAsia="仿宋_GB2312"/>
          <w:kern w:val="0"/>
          <w:sz w:val="28"/>
          <w:szCs w:val="28"/>
        </w:rPr>
        <w:t xml:space="preserve">    </w:t>
      </w:r>
    </w:p>
    <w:p>
      <w:pPr>
        <w:adjustRightInd w:val="0"/>
        <w:snapToGrid w:val="0"/>
        <w:spacing w:line="440" w:lineRule="exact"/>
        <w:ind w:firstLine="560" w:firstLineChars="200"/>
        <w:rPr>
          <w:rFonts w:ascii="仿宋_GB2312" w:eastAsia="仿宋_GB2312"/>
          <w:spacing w:val="-20"/>
          <w:kern w:val="0"/>
          <w:sz w:val="28"/>
          <w:szCs w:val="28"/>
        </w:rPr>
      </w:pPr>
      <w:r>
        <w:rPr>
          <w:rFonts w:hint="eastAsia" w:ascii="仿宋_GB2312" w:eastAsia="仿宋_GB2312"/>
          <w:kern w:val="0"/>
          <w:sz w:val="28"/>
          <w:szCs w:val="28"/>
        </w:rPr>
        <w:t>说明：</w:t>
      </w:r>
      <w:r>
        <w:rPr>
          <w:rFonts w:hint="eastAsia" w:ascii="仿宋_GB2312" w:eastAsia="仿宋_GB2312"/>
          <w:spacing w:val="-20"/>
          <w:kern w:val="0"/>
          <w:sz w:val="28"/>
          <w:szCs w:val="28"/>
        </w:rPr>
        <w:t>本通知书一式三份，认定单位、被认定单位、申报单位各执一份。</w:t>
      </w:r>
    </w:p>
    <w:p>
      <w:pPr>
        <w:adjustRightInd w:val="0"/>
        <w:snapToGrid w:val="0"/>
        <w:spacing w:line="440" w:lineRule="exact"/>
        <w:ind w:firstLine="735" w:firstLineChars="350"/>
        <w:rPr>
          <w:rFonts w:ascii="仿宋_GB2312" w:eastAsia="仿宋_GB2312"/>
          <w:kern w:val="0"/>
          <w:szCs w:val="21"/>
        </w:rPr>
      </w:pPr>
      <w:r>
        <w:rPr>
          <w:rFonts w:hint="eastAsia" w:ascii="仿宋_GB2312" w:eastAsia="仿宋_GB2312"/>
          <w:kern w:val="0"/>
          <w:szCs w:val="21"/>
        </w:rPr>
        <w:t>签收人（市场主体项目负责人）：                       签收时间：</w:t>
      </w:r>
    </w:p>
    <w:p>
      <w:pPr>
        <w:adjustRightInd w:val="0"/>
        <w:snapToGrid w:val="0"/>
        <w:spacing w:line="440" w:lineRule="exact"/>
        <w:jc w:val="center"/>
        <w:rPr>
          <w:rFonts w:ascii="仿宋_GB2312" w:eastAsia="仿宋_GB2312"/>
          <w:kern w:val="0"/>
          <w:sz w:val="28"/>
          <w:szCs w:val="28"/>
        </w:rPr>
      </w:pPr>
      <w:r>
        <w:rPr>
          <w:rFonts w:hint="eastAsia" w:ascii="仿宋_GB2312" w:eastAsia="仿宋_GB2312"/>
          <w:spacing w:val="-4"/>
          <w:kern w:val="0"/>
          <w:szCs w:val="21"/>
        </w:rPr>
        <w:t xml:space="preserve">   （提示：我单位已于    年  月  日将本通知书向被认定单位邮寄□送达/□寄出。）</w:t>
      </w:r>
    </w:p>
    <w:p>
      <w:pPr>
        <w:pStyle w:val="315"/>
        <w:widowControl/>
        <w:spacing w:line="480" w:lineRule="auto"/>
        <w:ind w:right="42" w:firstLine="0" w:firstLineChars="0"/>
        <w:rPr>
          <w:rFonts w:ascii="黑体" w:hAnsi="黑体" w:eastAsia="黑体"/>
          <w:kern w:val="0"/>
          <w:sz w:val="32"/>
          <w:szCs w:val="28"/>
        </w:rPr>
        <w:sectPr>
          <w:pgSz w:w="11906" w:h="16838"/>
          <w:pgMar w:top="1440" w:right="1800" w:bottom="1440" w:left="1800" w:header="851" w:footer="992" w:gutter="0"/>
          <w:cols w:space="425" w:num="1"/>
          <w:docGrid w:type="lines" w:linePitch="312" w:charSpace="0"/>
        </w:sectPr>
      </w:pPr>
    </w:p>
    <w:p>
      <w:pPr>
        <w:pStyle w:val="315"/>
        <w:widowControl/>
        <w:adjustRightInd w:val="0"/>
        <w:snapToGrid w:val="0"/>
        <w:spacing w:line="480" w:lineRule="auto"/>
        <w:ind w:right="42" w:firstLine="0" w:firstLineChars="0"/>
        <w:rPr>
          <w:rFonts w:ascii="黑体" w:hAnsi="黑体" w:eastAsia="黑体"/>
          <w:kern w:val="0"/>
          <w:sz w:val="32"/>
          <w:szCs w:val="28"/>
        </w:rPr>
      </w:pPr>
      <w:r>
        <w:rPr>
          <w:rFonts w:hint="eastAsia" w:ascii="黑体" w:hAnsi="黑体" w:eastAsia="黑体"/>
          <w:kern w:val="0"/>
          <w:sz w:val="32"/>
          <w:szCs w:val="28"/>
        </w:rPr>
        <w:t>附件</w:t>
      </w:r>
      <w:r>
        <w:rPr>
          <w:rFonts w:ascii="黑体" w:hAnsi="黑体" w:eastAsia="黑体"/>
          <w:kern w:val="0"/>
          <w:sz w:val="32"/>
          <w:szCs w:val="28"/>
        </w:rPr>
        <w:t>6</w:t>
      </w:r>
    </w:p>
    <w:p>
      <w:pPr>
        <w:widowControl/>
        <w:adjustRightInd w:val="0"/>
        <w:snapToGrid w:val="0"/>
        <w:spacing w:line="440" w:lineRule="exact"/>
        <w:ind w:right="40"/>
        <w:jc w:val="center"/>
        <w:rPr>
          <w:rFonts w:ascii="宋体" w:hAnsi="宋体"/>
          <w:kern w:val="0"/>
          <w:sz w:val="32"/>
          <w:szCs w:val="32"/>
        </w:rPr>
      </w:pPr>
      <w:r>
        <w:rPr>
          <w:rFonts w:hint="eastAsia" w:ascii="宋体" w:hAnsi="宋体"/>
          <w:b/>
          <w:bCs/>
          <w:spacing w:val="30"/>
          <w:kern w:val="0"/>
          <w:sz w:val="44"/>
          <w:szCs w:val="44"/>
        </w:rPr>
        <w:t>不良行为认定通知书（个人）</w:t>
      </w:r>
    </w:p>
    <w:p>
      <w:pPr>
        <w:widowControl/>
        <w:adjustRightInd w:val="0"/>
        <w:snapToGrid w:val="0"/>
        <w:spacing w:line="420" w:lineRule="exact"/>
        <w:ind w:right="42"/>
        <w:jc w:val="center"/>
        <w:rPr>
          <w:rFonts w:ascii="仿宋_GB2312" w:eastAsia="仿宋_GB2312"/>
          <w:kern w:val="0"/>
          <w:sz w:val="32"/>
          <w:szCs w:val="32"/>
        </w:rPr>
      </w:pPr>
      <w:r>
        <w:rPr>
          <w:rFonts w:hint="eastAsia" w:ascii="仿宋_GB2312" w:eastAsia="仿宋_GB2312"/>
          <w:kern w:val="0"/>
          <w:sz w:val="24"/>
          <w:u w:val="single"/>
        </w:rPr>
        <w:t xml:space="preserve">     </w:t>
      </w:r>
      <w:r>
        <w:rPr>
          <w:rFonts w:hint="eastAsia" w:ascii="仿宋_GB2312" w:eastAsia="仿宋_GB2312"/>
          <w:kern w:val="0"/>
          <w:sz w:val="24"/>
        </w:rPr>
        <w:t>认</w:t>
      </w:r>
      <w:r>
        <w:rPr>
          <w:rFonts w:hint="eastAsia" w:ascii="仿宋_GB2312" w:hAnsi="宋体" w:eastAsia="仿宋_GB2312"/>
          <w:kern w:val="0"/>
          <w:sz w:val="24"/>
        </w:rPr>
        <w:t>〔    〕不良  号</w:t>
      </w:r>
    </w:p>
    <w:p>
      <w:pPr>
        <w:widowControl/>
        <w:adjustRightInd w:val="0"/>
        <w:snapToGrid w:val="0"/>
        <w:spacing w:line="420" w:lineRule="exact"/>
        <w:ind w:right="42"/>
        <w:rPr>
          <w:rFonts w:ascii="仿宋_GB2312" w:eastAsia="仿宋_GB2312"/>
          <w:kern w:val="0"/>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pStyle w:val="315"/>
        <w:widowControl/>
        <w:adjustRightInd w:val="0"/>
        <w:snapToGrid w:val="0"/>
        <w:spacing w:line="420" w:lineRule="exact"/>
        <w:ind w:right="42" w:firstLine="700" w:firstLineChars="250"/>
        <w:rPr>
          <w:rFonts w:ascii="仿宋_GB2312" w:eastAsia="仿宋_GB2312"/>
          <w:kern w:val="0"/>
          <w:sz w:val="28"/>
          <w:szCs w:val="28"/>
          <w:u w:val="single"/>
        </w:rPr>
      </w:pPr>
      <w:r>
        <w:rPr>
          <w:rFonts w:hint="eastAsia" w:ascii="仿宋_GB2312" w:eastAsia="仿宋_GB2312"/>
          <w:kern w:val="0"/>
          <w:sz w:val="28"/>
          <w:szCs w:val="28"/>
        </w:rPr>
        <w:t>经核实，你任职的单位</w:t>
      </w:r>
      <w:r>
        <w:rPr>
          <w:rFonts w:hint="eastAsia" w:ascii="仿宋_GB2312" w:eastAsia="仿宋_GB2312"/>
          <w:kern w:val="0"/>
          <w:sz w:val="28"/>
          <w:szCs w:val="28"/>
          <w:u w:val="single"/>
        </w:rPr>
        <w:t xml:space="preserve"> </w:t>
      </w:r>
      <w:r>
        <w:rPr>
          <w:rFonts w:ascii="仿宋_GB2312" w:eastAsia="仿宋_GB2312"/>
          <w:kern w:val="0"/>
          <w:sz w:val="28"/>
          <w:szCs w:val="28"/>
          <w:u w:val="single"/>
        </w:rPr>
        <w:t xml:space="preserve">                  </w:t>
      </w:r>
      <w:r>
        <w:rPr>
          <w:rFonts w:hint="eastAsia" w:ascii="仿宋_GB2312" w:eastAsia="仿宋_GB2312"/>
          <w:kern w:val="0"/>
          <w:sz w:val="28"/>
          <w:szCs w:val="28"/>
        </w:rPr>
        <w:t>在</w:t>
      </w:r>
      <w:r>
        <w:rPr>
          <w:rFonts w:hint="eastAsia" w:ascii="仿宋_GB2312" w:eastAsia="仿宋_GB2312"/>
          <w:kern w:val="0"/>
          <w:sz w:val="28"/>
          <w:szCs w:val="28"/>
          <w:u w:val="single"/>
        </w:rPr>
        <w:t xml:space="preserve">             </w:t>
      </w:r>
      <w:r>
        <w:rPr>
          <w:rFonts w:hint="eastAsia" w:ascii="仿宋_GB2312" w:eastAsia="仿宋_GB2312"/>
          <w:kern w:val="0"/>
          <w:sz w:val="28"/>
          <w:szCs w:val="28"/>
        </w:rPr>
        <w:t>工程建设期间存在</w:t>
      </w:r>
      <w:r>
        <w:rPr>
          <w:rFonts w:hint="eastAsia" w:ascii="仿宋_GB2312" w:eastAsia="仿宋_GB2312"/>
          <w:kern w:val="0"/>
          <w:sz w:val="28"/>
          <w:szCs w:val="28"/>
          <w:u w:val="single"/>
        </w:rPr>
        <w:t xml:space="preserve">                                 </w:t>
      </w:r>
      <w:r>
        <w:rPr>
          <w:rFonts w:ascii="仿宋_GB2312" w:eastAsia="仿宋_GB2312"/>
          <w:kern w:val="0"/>
          <w:sz w:val="28"/>
          <w:szCs w:val="28"/>
          <w:u w:val="single"/>
        </w:rPr>
        <w:t xml:space="preserve">                </w:t>
      </w:r>
      <w:r>
        <w:rPr>
          <w:rFonts w:hint="eastAsia" w:ascii="仿宋_GB2312" w:eastAsia="仿宋_GB2312"/>
          <w:kern w:val="0"/>
          <w:sz w:val="28"/>
          <w:szCs w:val="28"/>
          <w:u w:val="single"/>
        </w:rPr>
        <w:t xml:space="preserve">  </w:t>
      </w:r>
    </w:p>
    <w:p>
      <w:pPr>
        <w:pStyle w:val="315"/>
        <w:widowControl/>
        <w:adjustRightInd w:val="0"/>
        <w:snapToGrid w:val="0"/>
        <w:spacing w:line="420" w:lineRule="exact"/>
        <w:ind w:right="42" w:firstLine="0" w:firstLineChars="0"/>
        <w:jc w:val="left"/>
        <w:rPr>
          <w:rFonts w:ascii="仿宋_GB2312" w:eastAsia="仿宋_GB2312"/>
          <w:b/>
          <w:kern w:val="0"/>
          <w:sz w:val="28"/>
          <w:szCs w:val="28"/>
          <w:u w:val="single"/>
        </w:rPr>
      </w:pPr>
      <w:r>
        <w:rPr>
          <w:rFonts w:hint="eastAsia" w:ascii="仿宋_GB2312" w:eastAsia="仿宋_GB2312"/>
          <w:kern w:val="0"/>
          <w:sz w:val="28"/>
          <w:szCs w:val="28"/>
          <w:u w:val="single"/>
        </w:rPr>
        <w:t xml:space="preserve">                                                   </w:t>
      </w:r>
      <w:r>
        <w:rPr>
          <w:rFonts w:hint="eastAsia" w:ascii="仿宋_GB2312" w:eastAsia="仿宋_GB2312"/>
          <w:kern w:val="0"/>
          <w:sz w:val="28"/>
          <w:szCs w:val="28"/>
        </w:rPr>
        <w:t>的行为。我单位已于</w:t>
      </w: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日，根据《</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》第</w:t>
      </w:r>
      <w:r>
        <w:rPr>
          <w:rFonts w:hint="eastAsia" w:ascii="仿宋_GB2312" w:eastAsia="仿宋_GB2312"/>
          <w:kern w:val="0"/>
          <w:sz w:val="28"/>
          <w:szCs w:val="28"/>
          <w:u w:val="single"/>
        </w:rPr>
        <w:t xml:space="preserve">     </w:t>
      </w:r>
      <w:r>
        <w:rPr>
          <w:rFonts w:hint="eastAsia" w:ascii="仿宋_GB2312" w:eastAsia="仿宋_GB2312"/>
          <w:kern w:val="0"/>
          <w:sz w:val="28"/>
          <w:szCs w:val="28"/>
        </w:rPr>
        <w:t>条和《</w:t>
      </w:r>
      <w:r>
        <w:rPr>
          <w:rFonts w:hint="eastAsia" w:ascii="仿宋_GB2312" w:hAnsi="宋体" w:eastAsia="仿宋_GB2312"/>
          <w:sz w:val="28"/>
          <w:szCs w:val="28"/>
        </w:rPr>
        <w:t>深</w:t>
      </w:r>
      <w:r>
        <w:rPr>
          <w:rFonts w:hint="eastAsia" w:ascii="仿宋_GB2312" w:hAnsi="宋体" w:eastAsia="仿宋_GB2312"/>
          <w:spacing w:val="20"/>
          <w:sz w:val="28"/>
          <w:szCs w:val="28"/>
        </w:rPr>
        <w:t>圳市水务建设市场不良行为认</w:t>
      </w:r>
      <w:r>
        <w:rPr>
          <w:rFonts w:hint="eastAsia" w:ascii="仿宋_GB2312" w:hAnsi="宋体" w:eastAsia="仿宋_GB2312"/>
          <w:spacing w:val="-20"/>
          <w:sz w:val="28"/>
          <w:szCs w:val="28"/>
        </w:rPr>
        <w:t>定标准</w:t>
      </w:r>
      <w:r>
        <w:rPr>
          <w:rFonts w:hint="eastAsia" w:ascii="仿宋_GB2312" w:eastAsia="仿宋_GB2312"/>
          <w:spacing w:val="-20"/>
          <w:kern w:val="0"/>
          <w:sz w:val="28"/>
          <w:szCs w:val="28"/>
        </w:rPr>
        <w:t>》第</w:t>
      </w:r>
      <w:r>
        <w:rPr>
          <w:rFonts w:hint="eastAsia" w:ascii="仿宋_GB2312" w:eastAsia="仿宋_GB2312"/>
          <w:spacing w:val="-20"/>
          <w:kern w:val="0"/>
          <w:sz w:val="28"/>
          <w:szCs w:val="28"/>
          <w:u w:val="single"/>
        </w:rPr>
        <w:t xml:space="preserve">     </w:t>
      </w:r>
      <w:r>
        <w:rPr>
          <w:rFonts w:hint="eastAsia" w:ascii="仿宋_GB2312" w:eastAsia="仿宋_GB2312"/>
          <w:spacing w:val="-20"/>
          <w:kern w:val="0"/>
          <w:sz w:val="28"/>
          <w:szCs w:val="28"/>
        </w:rPr>
        <w:t>项规定，上述单位行为已被</w:t>
      </w:r>
      <w:r>
        <w:rPr>
          <w:rFonts w:hint="eastAsia" w:ascii="仿宋_GB2312" w:eastAsia="仿宋_GB2312"/>
          <w:kern w:val="0"/>
          <w:sz w:val="28"/>
          <w:szCs w:val="28"/>
        </w:rPr>
        <w:t>认定扣</w:t>
      </w:r>
      <w:r>
        <w:rPr>
          <w:rFonts w:hint="eastAsia" w:ascii="仿宋_GB2312" w:eastAsia="仿宋_GB2312"/>
          <w:b/>
          <w:kern w:val="0"/>
          <w:sz w:val="28"/>
          <w:szCs w:val="28"/>
          <w:u w:val="single"/>
        </w:rPr>
        <w:t xml:space="preserve">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hint="eastAsia" w:ascii="仿宋_GB2312" w:hAnsi="宋体" w:eastAsia="仿宋_GB2312"/>
          <w:b/>
          <w:sz w:val="28"/>
          <w:szCs w:val="28"/>
          <w:u w:val="single"/>
        </w:rPr>
        <w:t>□轻微</w:t>
      </w:r>
      <w:r>
        <w:rPr>
          <w:rFonts w:ascii="仿宋_GB2312" w:hAnsi="宋体" w:eastAsia="仿宋_GB2312"/>
          <w:b/>
          <w:sz w:val="28"/>
          <w:szCs w:val="28"/>
          <w:u w:val="single"/>
        </w:rPr>
        <w:t>/□</w:t>
      </w:r>
      <w:r>
        <w:rPr>
          <w:rFonts w:hint="eastAsia" w:ascii="仿宋_GB2312" w:hAnsi="宋体" w:eastAsia="仿宋_GB2312"/>
          <w:b/>
          <w:sz w:val="28"/>
          <w:szCs w:val="28"/>
          <w:u w:val="single"/>
        </w:rPr>
        <w:t>较</w:t>
      </w:r>
      <w:r>
        <w:rPr>
          <w:rFonts w:ascii="仿宋_GB2312" w:hAnsi="宋体" w:eastAsia="仿宋_GB2312"/>
          <w:b/>
          <w:sz w:val="28"/>
          <w:szCs w:val="28"/>
          <w:u w:val="single"/>
        </w:rPr>
        <w:t>严重/□严重</w:t>
      </w:r>
      <w:r>
        <w:rPr>
          <w:rFonts w:hint="eastAsia" w:ascii="仿宋_GB2312" w:eastAsia="仿宋_GB2312"/>
          <w:b/>
          <w:kern w:val="0"/>
          <w:sz w:val="28"/>
          <w:szCs w:val="28"/>
          <w:u w:val="single"/>
        </w:rPr>
        <w:t>不良行为</w:t>
      </w:r>
      <w:r>
        <w:rPr>
          <w:rFonts w:hint="eastAsia" w:ascii="仿宋_GB2312" w:eastAsia="仿宋_GB2312"/>
          <w:kern w:val="0"/>
          <w:sz w:val="28"/>
          <w:szCs w:val="28"/>
        </w:rPr>
        <w:t>一次。你系</w:t>
      </w:r>
      <w:r>
        <w:rPr>
          <w:rFonts w:hint="eastAsia" w:ascii="仿宋_GB2312" w:hAnsi="宋体" w:eastAsia="仿宋_GB2312"/>
          <w:sz w:val="28"/>
          <w:szCs w:val="28"/>
        </w:rPr>
        <w:t>□</w:t>
      </w:r>
      <w:r>
        <w:rPr>
          <w:rFonts w:hint="eastAsia" w:ascii="仿宋_GB2312" w:eastAsia="仿宋_GB2312"/>
          <w:kern w:val="0"/>
          <w:sz w:val="28"/>
          <w:szCs w:val="28"/>
        </w:rPr>
        <w:t>该单位法定代表人/</w:t>
      </w:r>
      <w:r>
        <w:rPr>
          <w:rFonts w:hint="eastAsia" w:ascii="仿宋_GB2312" w:hAnsi="宋体" w:eastAsia="仿宋_GB2312"/>
          <w:sz w:val="28"/>
          <w:szCs w:val="28"/>
        </w:rPr>
        <w:t>□</w:t>
      </w:r>
      <w:r>
        <w:rPr>
          <w:rFonts w:hint="eastAsia" w:ascii="仿宋_GB2312" w:eastAsia="仿宋_GB2312"/>
          <w:kern w:val="0"/>
          <w:sz w:val="28"/>
          <w:szCs w:val="28"/>
        </w:rPr>
        <w:t>该项目负责人，根据《</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》第九条规定，同时对你作出不良行为认定，扣</w:t>
      </w:r>
      <w:r>
        <w:rPr>
          <w:rFonts w:hint="eastAsia" w:ascii="仿宋_GB2312" w:eastAsia="仿宋_GB2312"/>
          <w:b/>
          <w:kern w:val="0"/>
          <w:sz w:val="28"/>
          <w:szCs w:val="28"/>
          <w:u w:val="single"/>
        </w:rPr>
        <w:t xml:space="preserve">    分，并记</w:t>
      </w:r>
      <w:r>
        <w:rPr>
          <w:rFonts w:ascii="仿宋_GB2312" w:hAnsi="宋体" w:eastAsia="仿宋_GB2312" w:cs="仿宋_GB2312"/>
          <w:b/>
          <w:kern w:val="0"/>
          <w:sz w:val="28"/>
          <w:szCs w:val="28"/>
          <w:u w:val="single"/>
        </w:rPr>
        <w:t>□</w:t>
      </w:r>
      <w:r>
        <w:rPr>
          <w:rFonts w:hint="eastAsia" w:ascii="仿宋_GB2312" w:hAnsi="宋体" w:eastAsia="仿宋_GB2312" w:cs="仿宋_GB2312"/>
          <w:b/>
          <w:kern w:val="0"/>
          <w:sz w:val="28"/>
          <w:szCs w:val="28"/>
          <w:u w:val="single"/>
        </w:rPr>
        <w:t>记录/</w:t>
      </w:r>
      <w:r>
        <w:rPr>
          <w:rFonts w:hint="eastAsia" w:ascii="仿宋_GB2312" w:hAnsi="宋体" w:eastAsia="仿宋_GB2312"/>
          <w:b/>
          <w:sz w:val="28"/>
          <w:szCs w:val="28"/>
          <w:u w:val="single"/>
        </w:rPr>
        <w:t>□轻微</w:t>
      </w:r>
      <w:r>
        <w:rPr>
          <w:rFonts w:ascii="仿宋_GB2312" w:hAnsi="宋体" w:eastAsia="仿宋_GB2312"/>
          <w:b/>
          <w:sz w:val="28"/>
          <w:szCs w:val="28"/>
          <w:u w:val="single"/>
        </w:rPr>
        <w:t>/□</w:t>
      </w:r>
      <w:r>
        <w:rPr>
          <w:rFonts w:hint="eastAsia" w:ascii="仿宋_GB2312" w:hAnsi="宋体" w:eastAsia="仿宋_GB2312"/>
          <w:b/>
          <w:sz w:val="28"/>
          <w:szCs w:val="28"/>
          <w:u w:val="single"/>
        </w:rPr>
        <w:t>较</w:t>
      </w:r>
      <w:r>
        <w:rPr>
          <w:rFonts w:ascii="仿宋_GB2312" w:hAnsi="宋体" w:eastAsia="仿宋_GB2312"/>
          <w:b/>
          <w:sz w:val="28"/>
          <w:szCs w:val="28"/>
          <w:u w:val="single"/>
        </w:rPr>
        <w:t>严重/□严重</w:t>
      </w:r>
      <w:r>
        <w:rPr>
          <w:rFonts w:hint="eastAsia" w:ascii="仿宋_GB2312" w:eastAsia="仿宋_GB2312"/>
          <w:b/>
          <w:kern w:val="0"/>
          <w:sz w:val="28"/>
          <w:szCs w:val="28"/>
          <w:u w:val="single"/>
        </w:rPr>
        <w:t>不良行为</w:t>
      </w:r>
      <w:r>
        <w:rPr>
          <w:rFonts w:hint="eastAsia" w:ascii="仿宋_GB2312" w:eastAsia="仿宋_GB2312"/>
          <w:kern w:val="0"/>
          <w:sz w:val="28"/>
          <w:szCs w:val="28"/>
        </w:rPr>
        <w:t>一次。</w:t>
      </w:r>
    </w:p>
    <w:p>
      <w:pPr>
        <w:pStyle w:val="315"/>
        <w:widowControl/>
        <w:adjustRightInd w:val="0"/>
        <w:snapToGrid w:val="0"/>
        <w:spacing w:line="420" w:lineRule="exact"/>
        <w:ind w:right="42" w:firstLine="560"/>
        <w:jc w:val="left"/>
        <w:rPr>
          <w:rFonts w:ascii="仿宋_GB2312" w:eastAsia="仿宋_GB2312"/>
          <w:kern w:val="0"/>
          <w:sz w:val="28"/>
          <w:szCs w:val="28"/>
        </w:rPr>
      </w:pPr>
      <w:r>
        <w:rPr>
          <w:rFonts w:hint="eastAsia" w:ascii="仿宋_GB2312" w:hAnsi="宋体" w:eastAsia="仿宋_GB2312"/>
          <w:sz w:val="28"/>
          <w:szCs w:val="28"/>
        </w:rPr>
        <w:t>□</w:t>
      </w:r>
      <w:r>
        <w:rPr>
          <w:rFonts w:hint="eastAsia" w:ascii="仿宋_GB2312" w:eastAsia="仿宋_GB2312"/>
          <w:kern w:val="0"/>
          <w:sz w:val="28"/>
          <w:szCs w:val="28"/>
        </w:rPr>
        <w:t>根据《</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》第九条、第</w:t>
      </w:r>
      <w:r>
        <w:rPr>
          <w:rFonts w:hint="eastAsia" w:ascii="仿宋_GB2312" w:eastAsia="仿宋_GB2312"/>
          <w:kern w:val="0"/>
          <w:sz w:val="28"/>
          <w:szCs w:val="28"/>
          <w:u w:val="single"/>
        </w:rPr>
        <w:t xml:space="preserve">二十六 </w:t>
      </w:r>
      <w:r>
        <w:rPr>
          <w:rFonts w:hint="eastAsia" w:ascii="仿宋_GB2312" w:eastAsia="仿宋_GB2312"/>
          <w:kern w:val="0"/>
          <w:sz w:val="28"/>
          <w:szCs w:val="28"/>
        </w:rPr>
        <w:t>条第</w:t>
      </w:r>
      <w:r>
        <w:rPr>
          <w:rFonts w:hint="eastAsia" w:ascii="仿宋_GB2312" w:eastAsia="仿宋_GB2312"/>
          <w:kern w:val="0"/>
          <w:sz w:val="28"/>
          <w:szCs w:val="28"/>
          <w:u w:val="single"/>
        </w:rPr>
        <w:t xml:space="preserve"> 二 </w:t>
      </w:r>
      <w:r>
        <w:rPr>
          <w:rFonts w:hint="eastAsia" w:ascii="仿宋_GB2312" w:eastAsia="仿宋_GB2312"/>
          <w:kern w:val="0"/>
          <w:sz w:val="28"/>
          <w:szCs w:val="28"/>
        </w:rPr>
        <w:t>款规定，拒绝你自本公告之日起</w:t>
      </w:r>
      <w:r>
        <w:rPr>
          <w:rFonts w:hint="eastAsia" w:ascii="仿宋_GB2312" w:eastAsia="仿宋_GB2312"/>
          <w:kern w:val="0"/>
          <w:sz w:val="28"/>
          <w:szCs w:val="28"/>
          <w:u w:val="single"/>
        </w:rPr>
        <w:t xml:space="preserve">  </w:t>
      </w:r>
      <w:r>
        <w:rPr>
          <w:rFonts w:hint="eastAsia" w:ascii="仿宋_GB2312" w:eastAsia="仿宋_GB2312"/>
          <w:kern w:val="0"/>
          <w:sz w:val="28"/>
          <w:szCs w:val="28"/>
        </w:rPr>
        <w:t>内（即：</w:t>
      </w: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p>
    <w:p>
      <w:pPr>
        <w:pStyle w:val="315"/>
        <w:widowControl/>
        <w:adjustRightInd w:val="0"/>
        <w:snapToGrid w:val="0"/>
        <w:spacing w:line="420" w:lineRule="exact"/>
        <w:ind w:right="42" w:firstLine="0" w:firstLineChars="0"/>
        <w:jc w:val="left"/>
        <w:rPr>
          <w:rFonts w:ascii="仿宋_GB2312" w:eastAsia="仿宋_GB2312"/>
          <w:kern w:val="0"/>
          <w:sz w:val="28"/>
          <w:szCs w:val="28"/>
        </w:rPr>
      </w:pP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日至</w:t>
      </w:r>
      <w:r>
        <w:rPr>
          <w:rFonts w:hint="eastAsia" w:ascii="仿宋_GB2312" w:eastAsia="仿宋_GB2312"/>
          <w:kern w:val="0"/>
          <w:sz w:val="28"/>
          <w:szCs w:val="28"/>
          <w:u w:val="single"/>
        </w:rPr>
        <w:t xml:space="preserve">    </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rPr>
        <w:t>月</w:t>
      </w:r>
      <w:r>
        <w:rPr>
          <w:rFonts w:hint="eastAsia" w:ascii="仿宋_GB2312" w:eastAsia="仿宋_GB2312"/>
          <w:kern w:val="0"/>
          <w:sz w:val="28"/>
          <w:szCs w:val="28"/>
          <w:u w:val="single"/>
        </w:rPr>
        <w:t xml:space="preserve">  </w:t>
      </w:r>
      <w:r>
        <w:rPr>
          <w:rFonts w:hint="eastAsia" w:ascii="仿宋_GB2312" w:eastAsia="仿宋_GB2312"/>
          <w:kern w:val="0"/>
          <w:sz w:val="28"/>
          <w:szCs w:val="28"/>
        </w:rPr>
        <w:t>日）在我市行政区域范围内的水务建设市场从（执）业。</w:t>
      </w:r>
    </w:p>
    <w:p>
      <w:pPr>
        <w:pStyle w:val="315"/>
        <w:adjustRightInd w:val="0"/>
        <w:snapToGrid w:val="0"/>
        <w:spacing w:line="420" w:lineRule="exact"/>
        <w:ind w:firstLine="544"/>
        <w:rPr>
          <w:rFonts w:ascii="仿宋_GB2312" w:eastAsia="仿宋_GB2312"/>
          <w:spacing w:val="-4"/>
          <w:kern w:val="0"/>
          <w:sz w:val="28"/>
          <w:szCs w:val="28"/>
        </w:rPr>
      </w:pPr>
      <w:r>
        <w:rPr>
          <w:rFonts w:hint="eastAsia" w:ascii="仿宋_GB2312" w:eastAsia="仿宋_GB2312"/>
          <w:spacing w:val="-4"/>
          <w:kern w:val="0"/>
          <w:sz w:val="28"/>
          <w:szCs w:val="28"/>
        </w:rPr>
        <w:t>上述信息将按照</w:t>
      </w:r>
      <w:r>
        <w:rPr>
          <w:rFonts w:hint="eastAsia" w:ascii="仿宋_GB2312" w:eastAsia="仿宋_GB2312"/>
          <w:kern w:val="0"/>
          <w:sz w:val="28"/>
          <w:szCs w:val="28"/>
        </w:rPr>
        <w:t>《</w:t>
      </w:r>
      <w:r>
        <w:rPr>
          <w:rFonts w:hint="eastAsia" w:ascii="仿宋_GB2312" w:hAnsi="宋体" w:eastAsia="仿宋_GB2312"/>
          <w:sz w:val="28"/>
          <w:szCs w:val="28"/>
        </w:rPr>
        <w:t>深圳市水务建设市场主体不良行为认定及应用管理办法</w:t>
      </w:r>
      <w:r>
        <w:rPr>
          <w:rFonts w:hint="eastAsia" w:ascii="仿宋_GB2312" w:eastAsia="仿宋_GB2312"/>
          <w:kern w:val="0"/>
          <w:sz w:val="28"/>
          <w:szCs w:val="28"/>
        </w:rPr>
        <w:t>》规定</w:t>
      </w:r>
      <w:r>
        <w:rPr>
          <w:rFonts w:hint="eastAsia" w:ascii="仿宋_GB2312" w:eastAsia="仿宋_GB2312"/>
          <w:spacing w:val="-4"/>
          <w:kern w:val="0"/>
          <w:sz w:val="28"/>
          <w:szCs w:val="28"/>
        </w:rPr>
        <w:t>，录入信用档案并按规定</w:t>
      </w:r>
      <w:r>
        <w:rPr>
          <w:rFonts w:hint="eastAsia" w:ascii="仿宋_GB2312" w:hAnsi="宋体" w:eastAsia="仿宋_GB2312"/>
          <w:sz w:val="28"/>
          <w:szCs w:val="28"/>
        </w:rPr>
        <w:t>报送上级水行政主管部门及住房建设等相关部门</w:t>
      </w:r>
      <w:r>
        <w:rPr>
          <w:rFonts w:hint="eastAsia" w:ascii="仿宋_GB2312" w:eastAsia="仿宋_GB2312"/>
          <w:spacing w:val="-4"/>
          <w:kern w:val="0"/>
          <w:sz w:val="28"/>
          <w:szCs w:val="28"/>
        </w:rPr>
        <w:t>。</w:t>
      </w:r>
    </w:p>
    <w:p>
      <w:pPr>
        <w:pStyle w:val="315"/>
        <w:adjustRightInd w:val="0"/>
        <w:snapToGrid w:val="0"/>
        <w:spacing w:line="420" w:lineRule="exact"/>
        <w:ind w:firstLine="560"/>
      </w:pPr>
      <w:r>
        <w:rPr>
          <w:rFonts w:hint="eastAsia" w:ascii="仿宋_GB2312" w:eastAsia="仿宋_GB2312"/>
          <w:kern w:val="0"/>
          <w:sz w:val="28"/>
          <w:szCs w:val="28"/>
        </w:rPr>
        <w:t>你如对本决定不服，可在收到本通知书之日起六十日内向深圳市人民政府或广东省水利厅申请行政复议，也可在收到本通知书之日起六个月内直接向深圳市</w:t>
      </w:r>
      <w:r>
        <w:rPr>
          <w:rFonts w:hint="eastAsia" w:ascii="仿宋_GB2312" w:eastAsia="仿宋_GB2312"/>
          <w:kern w:val="0"/>
          <w:sz w:val="28"/>
          <w:szCs w:val="28"/>
          <w:u w:val="single"/>
        </w:rPr>
        <w:t xml:space="preserve"> </w:t>
      </w:r>
      <w:r>
        <w:rPr>
          <w:rFonts w:ascii="仿宋_GB2312" w:eastAsia="仿宋_GB2312"/>
          <w:kern w:val="0"/>
          <w:sz w:val="28"/>
          <w:szCs w:val="28"/>
          <w:u w:val="single"/>
        </w:rPr>
        <w:t xml:space="preserve">    </w:t>
      </w:r>
      <w:r>
        <w:rPr>
          <w:rFonts w:hint="eastAsia" w:ascii="仿宋_GB2312" w:eastAsia="仿宋_GB2312"/>
          <w:kern w:val="0"/>
          <w:sz w:val="28"/>
          <w:szCs w:val="28"/>
        </w:rPr>
        <w:t>人民法院提起行政诉讼。</w:t>
      </w:r>
    </w:p>
    <w:p>
      <w:pPr>
        <w:widowControl/>
        <w:adjustRightInd w:val="0"/>
        <w:snapToGrid w:val="0"/>
        <w:spacing w:line="420" w:lineRule="exact"/>
        <w:ind w:right="40"/>
        <w:jc w:val="center"/>
        <w:rPr>
          <w:rFonts w:ascii="仿宋_GB2312" w:eastAsia="仿宋_GB2312"/>
          <w:kern w:val="0"/>
          <w:sz w:val="28"/>
          <w:szCs w:val="28"/>
        </w:rPr>
      </w:pPr>
      <w:r>
        <w:rPr>
          <w:rFonts w:hint="eastAsia" w:ascii="仿宋_GB2312" w:eastAsia="仿宋_GB2312"/>
          <w:kern w:val="0"/>
          <w:sz w:val="28"/>
          <w:szCs w:val="28"/>
        </w:rPr>
        <w:t xml:space="preserve">                         认定单位（公章）</w:t>
      </w:r>
    </w:p>
    <w:p>
      <w:pPr>
        <w:widowControl/>
        <w:adjustRightInd w:val="0"/>
        <w:snapToGrid w:val="0"/>
        <w:spacing w:line="420" w:lineRule="exact"/>
        <w:ind w:right="42" w:firstLine="994" w:firstLineChars="355"/>
        <w:rPr>
          <w:rFonts w:ascii="仿宋_GB2312" w:eastAsia="仿宋_GB2312"/>
          <w:kern w:val="0"/>
          <w:sz w:val="28"/>
          <w:szCs w:val="28"/>
        </w:rPr>
      </w:pPr>
      <w:r>
        <w:rPr>
          <w:rFonts w:hint="eastAsia" w:ascii="仿宋_GB2312" w:eastAsia="仿宋_GB2312"/>
          <w:kern w:val="0"/>
          <w:sz w:val="28"/>
          <w:szCs w:val="28"/>
        </w:rPr>
        <w:t xml:space="preserve">                               年   月   日</w:t>
      </w:r>
    </w:p>
    <w:p>
      <w:pPr>
        <w:adjustRightInd w:val="0"/>
        <w:snapToGrid w:val="0"/>
        <w:spacing w:line="420" w:lineRule="exact"/>
        <w:ind w:firstLine="560" w:firstLineChars="200"/>
        <w:rPr>
          <w:rFonts w:ascii="仿宋_GB2312" w:eastAsia="仿宋_GB2312"/>
          <w:kern w:val="0"/>
          <w:sz w:val="24"/>
          <w:szCs w:val="28"/>
        </w:rPr>
      </w:pPr>
      <w:r>
        <w:rPr>
          <w:rFonts w:hint="eastAsia" w:ascii="仿宋_GB2312" w:eastAsia="仿宋_GB2312"/>
          <w:kern w:val="0"/>
          <w:sz w:val="28"/>
          <w:szCs w:val="28"/>
        </w:rPr>
        <w:t>说明：</w:t>
      </w:r>
      <w:r>
        <w:rPr>
          <w:rFonts w:hint="eastAsia" w:ascii="仿宋_GB2312" w:eastAsia="仿宋_GB2312"/>
          <w:spacing w:val="-6"/>
          <w:kern w:val="0"/>
          <w:sz w:val="28"/>
          <w:szCs w:val="28"/>
        </w:rPr>
        <w:t>本通知书一式三份，认定单位、被认定个人、申报单位各执一份</w:t>
      </w:r>
      <w:r>
        <w:rPr>
          <w:rFonts w:hint="eastAsia" w:ascii="仿宋_GB2312" w:eastAsia="仿宋_GB2312"/>
          <w:kern w:val="0"/>
          <w:sz w:val="28"/>
          <w:szCs w:val="28"/>
        </w:rPr>
        <w:t>。</w:t>
      </w:r>
    </w:p>
    <w:p>
      <w:pPr>
        <w:adjustRightInd w:val="0"/>
        <w:snapToGrid w:val="0"/>
        <w:spacing w:line="420" w:lineRule="exact"/>
        <w:ind w:firstLine="630" w:firstLineChars="300"/>
        <w:rPr>
          <w:rFonts w:ascii="仿宋_GB2312" w:eastAsia="仿宋_GB2312"/>
          <w:kern w:val="0"/>
          <w:szCs w:val="21"/>
        </w:rPr>
        <w:sectPr>
          <w:headerReference r:id="rId6" w:type="default"/>
          <w:footerReference r:id="rId7" w:type="default"/>
          <w:footerReference r:id="rId8" w:type="even"/>
          <w:pgSz w:w="11906" w:h="16838"/>
          <w:pgMar w:top="2268" w:right="1588" w:bottom="2268" w:left="1418" w:header="1418" w:footer="1418" w:gutter="0"/>
          <w:cols w:space="720" w:num="1"/>
          <w:docGrid w:type="lines" w:linePitch="312" w:charSpace="0"/>
        </w:sectPr>
      </w:pPr>
      <w:r>
        <w:rPr>
          <w:rFonts w:hint="eastAsia" w:ascii="仿宋_GB2312" w:eastAsia="仿宋_GB2312"/>
          <w:kern w:val="0"/>
          <w:szCs w:val="21"/>
        </w:rPr>
        <w:t>签收人（市场主体项目负责人/法定代表人）：              签收时间：</w:t>
      </w:r>
    </w:p>
    <w:p>
      <w:pPr>
        <w:rPr>
          <w:rFonts w:ascii="黑体" w:hAnsi="黑体" w:eastAsia="黑体"/>
          <w:sz w:val="28"/>
          <w:szCs w:val="15"/>
        </w:rPr>
      </w:pPr>
      <w:r>
        <w:rPr>
          <w:rFonts w:hint="eastAsia" w:ascii="黑体" w:hAnsi="黑体" w:eastAsia="黑体"/>
          <w:sz w:val="28"/>
          <w:szCs w:val="15"/>
        </w:rPr>
        <w:t>附件</w:t>
      </w:r>
      <w:r>
        <w:rPr>
          <w:rFonts w:ascii="黑体" w:hAnsi="黑体" w:eastAsia="黑体"/>
          <w:sz w:val="28"/>
          <w:szCs w:val="15"/>
        </w:rPr>
        <w:t>7</w:t>
      </w:r>
    </w:p>
    <w:p>
      <w:pPr>
        <w:jc w:val="center"/>
        <w:rPr>
          <w:rFonts w:ascii="方正小标宋_GBK" w:eastAsia="方正小标宋_GBK"/>
          <w:sz w:val="36"/>
          <w:szCs w:val="15"/>
        </w:rPr>
      </w:pPr>
      <w:r>
        <w:rPr>
          <w:rFonts w:hint="eastAsia" w:ascii="方正小标宋_GBK" w:eastAsia="方正小标宋_GBK"/>
          <w:sz w:val="36"/>
          <w:szCs w:val="15"/>
        </w:rPr>
        <w:t>深圳市水务建设市场主体不良行为认定管理流程图</w:t>
      </w:r>
    </w:p>
    <w:p>
      <w:pPr>
        <w:ind w:left="-1558" w:leftChars="-742"/>
        <w:rPr>
          <w:rFonts w:ascii="方正小标宋_GBK" w:eastAsia="方正小标宋_GBK"/>
          <w:sz w:val="36"/>
          <w:szCs w:val="15"/>
        </w:rPr>
      </w:pPr>
      <w:r>
        <w:rPr>
          <w:rFonts w:ascii="方正小标宋_GBK" w:eastAsia="方正小标宋_GBK"/>
          <w:sz w:val="36"/>
          <w:szCs w:val="15"/>
        </w:rPr>
        <w:pict>
          <v:shape id="_x0000_s1338" o:spid="_x0000_s1338" o:spt="202" type="#_x0000_t202" style="position:absolute;left:0pt;margin-left:17.55pt;margin-top:357.55pt;height:18pt;width:397.1pt;z-index:251661312;mso-width-relative:page;mso-height-relative:page;"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sz w:val="15"/>
                      <w:szCs w:val="15"/>
                    </w:rPr>
                    <w:t>注明：认定文书建议优先采用直接送达或（和）邮寄送达方式。</w:t>
                  </w:r>
                </w:p>
              </w:txbxContent>
            </v:textbox>
          </v:shape>
        </w:pict>
      </w:r>
      <w:r>
        <w:rPr>
          <w:rFonts w:ascii="仿宋_GB2312" w:eastAsia="仿宋_GB2312"/>
          <w:sz w:val="15"/>
          <w:szCs w:val="15"/>
        </w:rPr>
        <w:pict>
          <v:group id="画布 1" o:spid="_x0000_s1152" o:spt="203" style="height:356.6pt;width:742pt;" coordorigin="710,2943" coordsize="14840,7132" editas="canvas">
            <o:lock v:ext="edit"/>
            <v:shape id="画布 1" o:spid="_x0000_s1153" o:spt="75" type="#_x0000_t75" style="position:absolute;left:710;top:2943;height:7132;width:14840;" filled="f" o:preferrelative="t" stroked="f" coordsize="21600,21600">
              <v:fill on="f" focussize="0,0"/>
              <v:stroke on="f" joinstyle="miter"/>
              <v:imagedata o:title=""/>
              <o:lock v:ext="edit" aspectratio="t"/>
            </v:shape>
            <v:shape id="文本框 83" o:spid="_x0000_s1154" o:spt="202" type="#_x0000_t202" style="position:absolute;left:11891;top:4839;height:1590;width:621;"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">
              <v:path/>
              <v:fill focussize="0,0"/>
              <v:stroke on="f" weight="0.5pt" joinstyle="miter"/>
              <v:imagedata o:title=""/>
              <o:lock v:ext="edit"/>
              <v:textbox style="layout-flow:vertical-ideographic;">
                <w:txbxContent>
                  <w:p>
                    <w:pPr>
                      <w:pStyle w:val="49"/>
                      <w:spacing w:before="0" w:beforeAutospacing="0" w:after="0" w:afterAutospacing="0"/>
                      <w:rPr>
                        <w:sz w:val="15"/>
                        <w:szCs w:val="15"/>
                      </w:rPr>
                    </w:pPr>
                    <w:r>
                      <w:rPr>
                        <w:rFonts w:hint="eastAsia"/>
                        <w:sz w:val="15"/>
                        <w:szCs w:val="15"/>
                      </w:rPr>
                      <w:t>市水务局认定的</w:t>
                    </w:r>
                  </w:p>
                </w:txbxContent>
              </v:textbox>
            </v:shape>
            <v:shape id="文本框 83" o:spid="_x0000_s1155" o:spt="202" type="#_x0000_t202" style="position:absolute;left:11899;top:6735;height:1591;width:621;"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">
              <v:path/>
              <v:fill focussize="0,0"/>
              <v:stroke on="f" weight="0.5pt" joinstyle="miter"/>
              <v:imagedata o:title=""/>
              <o:lock v:ext="edit"/>
              <v:textbox style="layout-flow:vertical-ideographic;">
                <w:txbxContent>
                  <w:p>
                    <w:pPr>
                      <w:rPr>
                        <w:rFonts w:ascii="宋体" w:hAnsi="宋体"/>
                        <w:sz w:val="18"/>
                      </w:rPr>
                    </w:pPr>
                    <w:r>
                      <w:rPr>
                        <w:rFonts w:ascii="宋体" w:hAnsi="宋体"/>
                        <w:sz w:val="15"/>
                        <w:szCs w:val="15"/>
                      </w:rPr>
                      <w:t>区</w:t>
                    </w:r>
                    <w:r>
                      <w:rPr>
                        <w:rFonts w:hint="eastAsia" w:ascii="宋体" w:hAnsi="宋体"/>
                        <w:sz w:val="15"/>
                        <w:szCs w:val="15"/>
                      </w:rPr>
                      <w:t>水务局</w:t>
                    </w:r>
                    <w:r>
                      <w:rPr>
                        <w:rFonts w:ascii="宋体" w:hAnsi="宋体"/>
                        <w:sz w:val="15"/>
                        <w:szCs w:val="15"/>
                      </w:rPr>
                      <w:t>认定的</w:t>
                    </w:r>
                  </w:p>
                </w:txbxContent>
              </v:textbox>
            </v:shape>
            <v:shape id="文本框 104" o:spid="_x0000_s1156" o:spt="202" type="#_x0000_t202" style="position:absolute;left:9607;top:5901;height:582;width:901;"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">
              <v:path/>
              <v:fill focussize="0,0"/>
              <v:stroke on="f" weight="0.5pt" joinstyle="miter"/>
              <v:imagedata o:title=""/>
              <o:lock v:ext="edit"/>
              <v:textbox>
                <w:txbxContent>
                  <w:p>
                    <w:pPr>
                      <w:adjustRightInd w:val="0"/>
                      <w:snapToGrid w:val="0"/>
                      <w:jc w:val="center"/>
                      <w:rPr>
                        <w:rFonts w:ascii="宋体" w:hAnsi="宋体"/>
                        <w:sz w:val="15"/>
                        <w:szCs w:val="15"/>
                      </w:rPr>
                    </w:pPr>
                    <w:r>
                      <w:rPr>
                        <w:rFonts w:hint="eastAsia" w:ascii="宋体" w:hAnsi="宋体"/>
                        <w:sz w:val="15"/>
                        <w:szCs w:val="15"/>
                      </w:rPr>
                      <w:t>7个工作</w:t>
                    </w:r>
                    <w:r>
                      <w:rPr>
                        <w:rFonts w:ascii="宋体" w:hAnsi="宋体"/>
                        <w:sz w:val="15"/>
                        <w:szCs w:val="15"/>
                      </w:rPr>
                      <w:t>日内</w:t>
                    </w:r>
                  </w:p>
                </w:txbxContent>
              </v:textbox>
            </v:shape>
            <v:shape id="文本框 101" o:spid="_x0000_s1157" o:spt="202" type="#_x0000_t202" style="position:absolute;left:8599;top:7234;height:941;width:535;"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sz w:val="15"/>
                        <w:szCs w:val="15"/>
                      </w:rPr>
                      <w:t>不采纳</w:t>
                    </w:r>
                  </w:p>
                </w:txbxContent>
              </v:textbox>
            </v:shape>
            <v:shape id="文本框 59" o:spid="_x0000_s1158" o:spt="202" type="#_x0000_t202" style="position:absolute;left:9631;top:8590;height:872;width:950;"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">
              <v:path/>
              <v:fill focussize="0,0"/>
              <v:stroke on="f" weight="0.5pt" joinstyle="miter"/>
              <v:imagedata o:title=""/>
              <o:lock v:ext="edit"/>
              <v:textbox>
                <w:txbxContent>
                  <w:p>
                    <w:pPr>
                      <w:adjustRightInd w:val="0"/>
                      <w:snapToGrid w:val="0"/>
                      <w:rPr>
                        <w:sz w:val="15"/>
                        <w:szCs w:val="15"/>
                      </w:rPr>
                    </w:pPr>
                    <w:r>
                      <w:rPr>
                        <w:rFonts w:hint="eastAsia"/>
                        <w:sz w:val="15"/>
                        <w:szCs w:val="15"/>
                      </w:rPr>
                      <w:t>采纳陈述申辩意见</w:t>
                    </w:r>
                  </w:p>
                </w:txbxContent>
              </v:textbox>
            </v:shape>
            <v:shape id="_x0000_s1159" o:spid="_x0000_s1159" o:spt="202" type="#_x0000_t202" style="position:absolute;left:5193;top:8467;height:1195;width:737;"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KB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t4vIX/L+EHyOQPAAD//wMAUEsBAi0AFAAGAAgAAAAhANvh9svuAAAAhQEAABMAAAAAAAAA&#10;AAAAAAAAAAAAAFtDb250ZW50X1R5cGVzXS54bWxQSwECLQAUAAYACAAAACEAWvQsW78AAAAVAQAA&#10;CwAAAAAAAAAAAAAAAAAfAQAAX3JlbHMvLnJlbHNQSwECLQAUAAYACAAAACEA3AtCgcYAAADbAAAA&#10;DwAAAAAAAAAAAAAAAAAHAgAAZHJzL2Rvd25yZXYueG1sUEsFBgAAAAADAAMAtwAAAPoCAAAAAA==&#10;">
              <v:path/>
              <v:fill focussize="0,0"/>
              <v:stroke on="f" weight="0.5pt" joinstyle="miter"/>
              <v:imagedata o:title=""/>
              <o:lock v:ext="edit"/>
              <v:textbox>
                <w:txbxContent>
                  <w:p>
                    <w:pPr>
                      <w:pStyle w:val="49"/>
                      <w:adjustRightInd w:val="0"/>
                      <w:snapToGrid w:val="0"/>
                      <w:spacing w:before="0" w:beforeAutospacing="0" w:after="0" w:afterAutospacing="0"/>
                      <w:rPr>
                        <w:sz w:val="15"/>
                        <w:szCs w:val="15"/>
                      </w:rPr>
                    </w:pPr>
                    <w:r>
                      <w:rPr>
                        <w:rFonts w:hint="eastAsia" w:eastAsia="等线"/>
                        <w:sz w:val="15"/>
                        <w:szCs w:val="15"/>
                      </w:rPr>
                      <w:t>10</w:t>
                    </w:r>
                    <w:r>
                      <w:rPr>
                        <w:rFonts w:hint="eastAsia"/>
                        <w:sz w:val="15"/>
                        <w:szCs w:val="15"/>
                      </w:rPr>
                      <w:t>个工作日内提出申请</w:t>
                    </w:r>
                  </w:p>
                </w:txbxContent>
              </v:textbox>
            </v:shape>
            <v:shape id="_x0000_s1160" o:spid="_x0000_s1160" o:spt="202" type="#_x0000_t202" style="position:absolute;left:3308;top:3887;height:360;width:2155;"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sz w:val="15"/>
                        <w:szCs w:val="15"/>
                      </w:rPr>
                      <w:t>10</w:t>
                    </w:r>
                    <w:r>
                      <w:rPr>
                        <w:rFonts w:ascii="宋体" w:hAnsi="宋体"/>
                        <w:sz w:val="15"/>
                        <w:szCs w:val="15"/>
                      </w:rPr>
                      <w:t>个工作日内</w:t>
                    </w:r>
                    <w:r>
                      <w:rPr>
                        <w:rFonts w:hint="eastAsia" w:ascii="宋体" w:hAnsi="宋体"/>
                        <w:sz w:val="15"/>
                        <w:szCs w:val="15"/>
                      </w:rPr>
                      <w:t>提出</w:t>
                    </w:r>
                    <w:r>
                      <w:rPr>
                        <w:rFonts w:ascii="宋体" w:hAnsi="宋体"/>
                        <w:sz w:val="15"/>
                        <w:szCs w:val="15"/>
                      </w:rPr>
                      <w:t>申请</w:t>
                    </w:r>
                  </w:p>
                </w:txbxContent>
              </v:textbox>
            </v:shape>
            <v:shape id="文本框 32" o:spid="_x0000_s1161" o:spt="202" type="#_x0000_t202" style="position:absolute;left:3481;top:4428;height:605;width:1565;"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sz w:val="15"/>
                        <w:szCs w:val="15"/>
                      </w:rPr>
                      <w:t>当申请</w:t>
                    </w:r>
                    <w:r>
                      <w:rPr>
                        <w:rFonts w:ascii="宋体" w:hAnsi="宋体"/>
                        <w:sz w:val="15"/>
                        <w:szCs w:val="15"/>
                      </w:rPr>
                      <w:t>不成立</w:t>
                    </w:r>
                    <w:r>
                      <w:rPr>
                        <w:rFonts w:hint="eastAsia" w:ascii="宋体" w:hAnsi="宋体"/>
                        <w:sz w:val="15"/>
                        <w:szCs w:val="15"/>
                      </w:rPr>
                      <w:t>时，向申请人反馈意见</w:t>
                    </w:r>
                  </w:p>
                </w:txbxContent>
              </v:textbox>
            </v:shape>
            <v:shape id="文本框 86" o:spid="_x0000_s1162" o:spt="202" type="#_x0000_t202" style="position:absolute;left:13538;top:8213;height:886;width:1440;"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cs="宋体"/>
                        <w:sz w:val="15"/>
                        <w:szCs w:val="15"/>
                      </w:rPr>
                      <w:t>市</w:t>
                    </w:r>
                    <w:r>
                      <w:rPr>
                        <w:rFonts w:ascii="宋体" w:hAnsi="宋体" w:cs="宋体"/>
                        <w:sz w:val="15"/>
                        <w:szCs w:val="15"/>
                      </w:rPr>
                      <w:t>水务局</w:t>
                    </w:r>
                    <w:r>
                      <w:rPr>
                        <w:rFonts w:hint="eastAsia" w:ascii="宋体" w:hAnsi="宋体" w:cs="宋体"/>
                        <w:sz w:val="15"/>
                        <w:szCs w:val="15"/>
                      </w:rPr>
                      <w:t>自收到之日</w:t>
                    </w:r>
                    <w:r>
                      <w:rPr>
                        <w:rFonts w:hint="eastAsia" w:ascii="宋体" w:hAnsi="宋体"/>
                        <w:sz w:val="15"/>
                        <w:szCs w:val="15"/>
                      </w:rPr>
                      <w:t>起</w:t>
                    </w:r>
                    <w:r>
                      <w:rPr>
                        <w:rFonts w:hint="eastAsia" w:ascii="宋体" w:hAnsi="宋体" w:cs="宋体"/>
                        <w:sz w:val="15"/>
                        <w:szCs w:val="15"/>
                      </w:rPr>
                      <w:t>4个工作日内</w:t>
                    </w:r>
                  </w:p>
                </w:txbxContent>
              </v:textbox>
            </v:shape>
            <v:shape id="文本框 60" o:spid="_x0000_s1163" o:spt="202" type="#_x0000_t202" style="position:absolute;left:6795;top:8206;height:1196;width:1087;"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v:path/>
              <v:fill focussize="0,0"/>
              <v:stroke on="f" weight="0.5pt" joinstyle="miter"/>
              <v:imagedata o:title=""/>
              <o:lock v:ext="edit"/>
              <v:textbox>
                <w:txbxContent>
                  <w:p>
                    <w:pPr>
                      <w:pStyle w:val="49"/>
                      <w:adjustRightInd w:val="0"/>
                      <w:snapToGrid w:val="0"/>
                      <w:spacing w:before="0" w:beforeAutospacing="0" w:after="0" w:afterAutospacing="0"/>
                      <w:rPr>
                        <w:sz w:val="15"/>
                        <w:szCs w:val="15"/>
                      </w:rPr>
                    </w:pPr>
                    <w:r>
                      <w:rPr>
                        <w:rFonts w:hint="eastAsia" w:eastAsia="等线"/>
                        <w:sz w:val="15"/>
                        <w:szCs w:val="15"/>
                      </w:rPr>
                      <w:t>10</w:t>
                    </w:r>
                    <w:r>
                      <w:rPr>
                        <w:rFonts w:hint="eastAsia"/>
                        <w:sz w:val="15"/>
                        <w:szCs w:val="15"/>
                      </w:rPr>
                      <w:t>工作日内收到书面申辩或陈述报告</w:t>
                    </w:r>
                  </w:p>
                </w:txbxContent>
              </v:textbox>
            </v:shape>
            <v:shape id="文本框 60" o:spid="_x0000_s1164" o:spt="202" type="#_x0000_t202" style="position:absolute;left:6857;top:4355;height:740;width:1825;"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">
              <v:path/>
              <v:fill focussize="0,0"/>
              <v:stroke on="f" weight="0.5pt" joinstyle="miter"/>
              <v:imagedata o:title=""/>
              <o:lock v:ext="edit"/>
              <v:textbox>
                <w:txbxContent>
                  <w:p>
                    <w:pPr>
                      <w:adjustRightInd w:val="0"/>
                      <w:snapToGrid w:val="0"/>
                      <w:rPr>
                        <w:rFonts w:ascii="宋体" w:hAnsi="宋体"/>
                        <w:sz w:val="15"/>
                        <w:szCs w:val="15"/>
                      </w:rPr>
                    </w:pPr>
                    <w:r>
                      <w:rPr>
                        <w:rFonts w:hint="eastAsia" w:ascii="宋体" w:hAnsi="宋体"/>
                        <w:sz w:val="15"/>
                        <w:szCs w:val="15"/>
                      </w:rPr>
                      <w:t>10工作日内未收到市场主体的书面申辩或陈述报告</w:t>
                    </w:r>
                  </w:p>
                </w:txbxContent>
              </v:textbox>
            </v:shape>
            <v:shape id="文本框 3" o:spid="_x0000_s1165" o:spt="202" type="#_x0000_t202" style="position:absolute;left:928;top:4918;height:2405;width:504;mso-wrap-style:non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">
              <v:path/>
              <v:fill focussize="0,0"/>
              <v:stroke weight="0.5pt" joinstyle="miter"/>
              <v:imagedata o:title=""/>
              <o:lock v:ext="edit"/>
              <v:textbox style="layout-flow:vertical-ideographic;">
                <w:txbxContent>
                  <w:p>
                    <w:pPr>
                      <w:adjustRightInd w:val="0"/>
                      <w:snapToGrid w:val="0"/>
                      <w:ind w:firstLine="75" w:firstLineChars="50"/>
                      <w:rPr>
                        <w:rFonts w:ascii="宋体" w:hAnsi="宋体"/>
                        <w:sz w:val="15"/>
                        <w:szCs w:val="15"/>
                      </w:rPr>
                    </w:pPr>
                    <w:r>
                      <w:rPr>
                        <w:rFonts w:hint="eastAsia" w:ascii="宋体" w:hAnsi="宋体"/>
                        <w:sz w:val="15"/>
                        <w:szCs w:val="15"/>
                      </w:rPr>
                      <w:t xml:space="preserve">市 场 </w:t>
                    </w:r>
                    <w:r>
                      <w:rPr>
                        <w:rFonts w:ascii="宋体" w:hAnsi="宋体"/>
                        <w:sz w:val="15"/>
                        <w:szCs w:val="15"/>
                      </w:rPr>
                      <w:t>主</w:t>
                    </w:r>
                    <w:r>
                      <w:rPr>
                        <w:rFonts w:hint="eastAsia" w:ascii="宋体" w:hAnsi="宋体"/>
                        <w:sz w:val="15"/>
                        <w:szCs w:val="15"/>
                      </w:rPr>
                      <w:t xml:space="preserve"> </w:t>
                    </w:r>
                    <w:r>
                      <w:rPr>
                        <w:rFonts w:ascii="宋体" w:hAnsi="宋体"/>
                        <w:sz w:val="15"/>
                        <w:szCs w:val="15"/>
                      </w:rPr>
                      <w:t>体</w:t>
                    </w:r>
                    <w:r>
                      <w:rPr>
                        <w:rFonts w:hint="eastAsia" w:ascii="宋体" w:hAnsi="宋体"/>
                        <w:sz w:val="15"/>
                        <w:szCs w:val="15"/>
                      </w:rPr>
                      <w:t xml:space="preserve"> </w:t>
                    </w:r>
                    <w:r>
                      <w:rPr>
                        <w:rFonts w:ascii="宋体" w:hAnsi="宋体"/>
                        <w:sz w:val="15"/>
                        <w:szCs w:val="15"/>
                      </w:rPr>
                      <w:t>不</w:t>
                    </w:r>
                    <w:r>
                      <w:rPr>
                        <w:rFonts w:hint="eastAsia" w:ascii="宋体" w:hAnsi="宋体"/>
                        <w:sz w:val="15"/>
                        <w:szCs w:val="15"/>
                      </w:rPr>
                      <w:t xml:space="preserve"> </w:t>
                    </w:r>
                    <w:r>
                      <w:rPr>
                        <w:rFonts w:ascii="宋体" w:hAnsi="宋体"/>
                        <w:sz w:val="15"/>
                        <w:szCs w:val="15"/>
                      </w:rPr>
                      <w:t>良</w:t>
                    </w:r>
                    <w:r>
                      <w:rPr>
                        <w:rFonts w:hint="eastAsia" w:ascii="宋体" w:hAnsi="宋体"/>
                        <w:sz w:val="15"/>
                        <w:szCs w:val="15"/>
                      </w:rPr>
                      <w:t xml:space="preserve"> </w:t>
                    </w:r>
                    <w:r>
                      <w:rPr>
                        <w:rFonts w:ascii="宋体" w:hAnsi="宋体"/>
                        <w:sz w:val="15"/>
                        <w:szCs w:val="15"/>
                      </w:rPr>
                      <w:t>行</w:t>
                    </w:r>
                    <w:r>
                      <w:rPr>
                        <w:rFonts w:hint="eastAsia" w:ascii="宋体" w:hAnsi="宋体"/>
                        <w:sz w:val="15"/>
                        <w:szCs w:val="15"/>
                      </w:rPr>
                      <w:t xml:space="preserve"> </w:t>
                    </w:r>
                    <w:r>
                      <w:rPr>
                        <w:rFonts w:ascii="宋体" w:hAnsi="宋体"/>
                        <w:sz w:val="15"/>
                        <w:szCs w:val="15"/>
                      </w:rPr>
                      <w:t>为</w:t>
                    </w:r>
                    <w:r>
                      <w:rPr>
                        <w:rFonts w:hint="eastAsia" w:ascii="宋体" w:hAnsi="宋体"/>
                        <w:sz w:val="15"/>
                        <w:szCs w:val="15"/>
                      </w:rPr>
                      <w:t xml:space="preserve"> </w:t>
                    </w:r>
                    <w:r>
                      <w:rPr>
                        <w:rFonts w:ascii="宋体" w:hAnsi="宋体"/>
                        <w:sz w:val="15"/>
                        <w:szCs w:val="15"/>
                      </w:rPr>
                      <w:t>信</w:t>
                    </w:r>
                    <w:r>
                      <w:rPr>
                        <w:rFonts w:hint="eastAsia" w:ascii="宋体" w:hAnsi="宋体"/>
                        <w:sz w:val="15"/>
                        <w:szCs w:val="15"/>
                      </w:rPr>
                      <w:t xml:space="preserve"> </w:t>
                    </w:r>
                    <w:r>
                      <w:rPr>
                        <w:rFonts w:ascii="宋体" w:hAnsi="宋体"/>
                        <w:sz w:val="15"/>
                        <w:szCs w:val="15"/>
                      </w:rPr>
                      <w:t>息</w:t>
                    </w:r>
                    <w:r>
                      <w:rPr>
                        <w:rFonts w:hint="eastAsia" w:ascii="宋体" w:hAnsi="宋体"/>
                        <w:sz w:val="15"/>
                        <w:szCs w:val="15"/>
                      </w:rPr>
                      <w:t xml:space="preserve"> </w:t>
                    </w:r>
                  </w:p>
                </w:txbxContent>
              </v:textbox>
            </v:shape>
            <v:line id="直接连接符 4" o:spid="_x0000_s1166" o:spt="20" style="position:absolute;left:1432;top:6334;height:0;width:34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v:path arrowok="t"/>
              <v:fill focussize="0,0"/>
              <v:stroke weight="0.5pt" joinstyle="miter"/>
              <v:imagedata o:title=""/>
              <o:lock v:ext="edit"/>
            </v:line>
            <v:line id="直接连接符 5" o:spid="_x0000_s1167" o:spt="20" style="position:absolute;left:1780;top:4354;flip:x;height:4058;width:1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v:path arrowok="t"/>
              <v:fill focussize="0,0"/>
              <v:stroke weight="0.5pt" joinstyle="miter"/>
              <v:imagedata o:title=""/>
              <o:lock v:ext="edit"/>
            </v:line>
            <v:shape id="文本框 17" o:spid="_x0000_s1168" o:spt="202" type="#_x0000_t202" style="position:absolute;left:5651;top:4982;height:2931;width:500;" coordsize="21600,21600">
              <v:path/>
              <v:fill focussize="0,0"/>
              <v:stroke weight="0.5pt" joinstyle="miter"/>
              <v:imagedata o:title=""/>
              <o:lock v:ext="edit"/>
              <v:textbox style="layout-flow:vertical-ideographic;mso-fit-shape-to-text:t;">
                <w:txbxContent>
                  <w:p>
                    <w:pPr>
                      <w:adjustRightInd w:val="0"/>
                      <w:snapToGrid w:val="0"/>
                      <w:jc w:val="center"/>
                      <w:rPr>
                        <w:rFonts w:ascii="宋体" w:hAnsi="宋体"/>
                        <w:sz w:val="15"/>
                        <w:szCs w:val="15"/>
                      </w:rPr>
                    </w:pPr>
                    <w:r>
                      <w:rPr>
                        <w:rFonts w:hint="eastAsia" w:ascii="宋体" w:hAnsi="宋体"/>
                        <w:sz w:val="15"/>
                        <w:szCs w:val="15"/>
                      </w:rPr>
                      <w:t>水务局作出初步认定告知书</w:t>
                    </w:r>
                  </w:p>
                </w:txbxContent>
              </v:textbox>
            </v:shape>
            <v:shape id="文本框 53" o:spid="_x0000_s1169" o:spt="202" type="#_x0000_t202" style="position:absolute;left:7882;top:8482;height:1140;width:172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v:path/>
              <v:fill focussize="0,0"/>
              <v:stroke weight="0.5pt" joinstyle="miter"/>
              <v:imagedata o:title=""/>
              <o:lock v:ext="edit"/>
              <v:textbox>
                <w:txbxContent>
                  <w:p>
                    <w:pPr>
                      <w:adjustRightInd w:val="0"/>
                      <w:snapToGrid w:val="0"/>
                      <w:rPr>
                        <w:rFonts w:ascii="宋体" w:hAnsi="宋体"/>
                        <w:sz w:val="15"/>
                        <w:szCs w:val="15"/>
                      </w:rPr>
                    </w:pPr>
                    <w:r>
                      <w:rPr>
                        <w:rFonts w:hint="eastAsia" w:ascii="宋体" w:hAnsi="宋体"/>
                        <w:spacing w:val="-8"/>
                        <w:sz w:val="15"/>
                        <w:szCs w:val="15"/>
                      </w:rPr>
                      <w:t>水务局会相关单位受理申辩或陈述（注：相关会办单位应自收到水务局的协办函后于10个工作日内反馈意见）</w:t>
                    </w:r>
                  </w:p>
                </w:txbxContent>
              </v:textbox>
            </v:shape>
            <v:shape id="肘形连接符 54" o:spid="_x0000_s1170" o:spt="34" type="#_x0000_t34" style="position:absolute;left:6202;top:7446;flip:x;height:1009;width:2351;rotation:5898240f;" o:connectortype="elbow"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" adj="21544,145441,-59967">
              <v:path arrowok="t"/>
              <v:fill on="f" focussize="0,0"/>
              <v:stroke weight="0.5pt" endarrow="block"/>
              <v:imagedata o:title=""/>
              <o:lock v:ext="edit"/>
            </v:shape>
            <v:shape id="文本框 56" o:spid="_x0000_s1171" o:spt="202" type="#_x0000_t202" style="position:absolute;left:10640;top:8658;height:932;width:454;" coordsize="21600,21600">
              <v:path/>
              <v:fill focussize="0,0"/>
              <v:stroke weight="0.5pt" joinstyle="miter"/>
              <v:imagedata o:title=""/>
              <o:lock v:ext="edit"/>
              <v:textbox>
                <w:txbxContent>
                  <w:p>
                    <w:pPr>
                      <w:adjustRightInd w:val="0"/>
                      <w:snapToGrid w:val="0"/>
                      <w:rPr>
                        <w:rFonts w:ascii="宋体" w:hAnsi="宋体"/>
                        <w:spacing w:val="-8"/>
                        <w:sz w:val="15"/>
                        <w:szCs w:val="15"/>
                      </w:rPr>
                    </w:pPr>
                    <w:r>
                      <w:rPr>
                        <w:rFonts w:hint="eastAsia" w:ascii="宋体" w:hAnsi="宋体"/>
                        <w:spacing w:val="-8"/>
                        <w:sz w:val="15"/>
                        <w:szCs w:val="15"/>
                      </w:rPr>
                      <w:t>终止</w:t>
                    </w:r>
                  </w:p>
                  <w:p>
                    <w:pPr>
                      <w:adjustRightInd w:val="0"/>
                      <w:snapToGrid w:val="0"/>
                      <w:rPr>
                        <w:sz w:val="18"/>
                      </w:rPr>
                    </w:pPr>
                    <w:r>
                      <w:rPr>
                        <w:rFonts w:hint="eastAsia" w:ascii="宋体" w:hAnsi="宋体"/>
                        <w:spacing w:val="-8"/>
                        <w:sz w:val="15"/>
                        <w:szCs w:val="15"/>
                      </w:rPr>
                      <w:t>认定</w:t>
                    </w:r>
                  </w:p>
                </w:txbxContent>
              </v:textbox>
            </v:shape>
            <v:shape id="直接箭头连接符 58" o:spid="_x0000_s1172" o:spt="32" type="#_x0000_t32" style="position:absolute;left:9607;top:9127;height:14;width:1033;" filled="f" coordsize="21600,21600">
              <v:path arrowok="t"/>
              <v:fill on="f" focussize="0,0"/>
              <v:stroke weight="0.5pt" joinstyle="miter" endarrow="block"/>
              <v:imagedata o:title=""/>
              <o:lock v:ext="edit"/>
            </v:shape>
            <v:shape id="文本框 71" o:spid="_x0000_s1173" o:spt="202" type="#_x0000_t202" style="position:absolute;left:7882;top:6155;height:778;width:1620;" coordsize="21600,21600">
              <v:path/>
              <v:fill focussize="0,0"/>
              <v:stroke weight="0.5pt" joinstyle="miter"/>
              <v:imagedata o:title=""/>
              <o:lock v:ext="edit"/>
              <v:textbox style="mso-fit-shape-to-text:t;">
                <w:txbxContent>
                  <w:p>
                    <w:pPr>
                      <w:rPr>
                        <w:rFonts w:ascii="宋体" w:hAnsi="宋体"/>
                        <w:sz w:val="15"/>
                        <w:szCs w:val="15"/>
                      </w:rPr>
                    </w:pPr>
                    <w:r>
                      <w:rPr>
                        <w:rFonts w:hint="eastAsia" w:ascii="宋体" w:hAnsi="宋体"/>
                        <w:sz w:val="15"/>
                        <w:szCs w:val="15"/>
                      </w:rPr>
                      <w:t>出具</w:t>
                    </w:r>
                    <w:r>
                      <w:rPr>
                        <w:rFonts w:ascii="宋体" w:hAnsi="宋体"/>
                        <w:sz w:val="15"/>
                        <w:szCs w:val="15"/>
                      </w:rPr>
                      <w:t>《</w:t>
                    </w:r>
                    <w:r>
                      <w:rPr>
                        <w:rFonts w:hint="eastAsia" w:ascii="宋体" w:hAnsi="宋体"/>
                        <w:sz w:val="15"/>
                        <w:szCs w:val="15"/>
                      </w:rPr>
                      <w:t>不良</w:t>
                    </w:r>
                    <w:r>
                      <w:rPr>
                        <w:rFonts w:ascii="宋体" w:hAnsi="宋体"/>
                        <w:sz w:val="15"/>
                        <w:szCs w:val="15"/>
                      </w:rPr>
                      <w:t>行为认定通知书》</w:t>
                    </w:r>
                  </w:p>
                </w:txbxContent>
              </v:textbox>
            </v:shape>
            <v:shape id="直接箭头连接符 72" o:spid="_x0000_s1174" o:spt="32" type="#_x0000_t32" style="position:absolute;left:8674;top:6941;flip:y;height:1531;width:18;" filled="f" coordsize="21600,21600">
              <v:path arrowok="t"/>
              <v:fill on="f" focussize="0,0"/>
              <v:stroke weight="0.5pt" joinstyle="miter" endarrow="block"/>
              <v:imagedata o:title=""/>
              <o:lock v:ext="edit"/>
            </v:shape>
            <v:shape id="直接箭头连接符 74" o:spid="_x0000_s1175" o:spt="32" type="#_x0000_t32" style="position:absolute;left:9502;top:6437;height:0;width:108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">
              <v:path arrowok="t"/>
              <v:fill on="f" focussize="0,0"/>
              <v:stroke weight="0.5pt" joinstyle="miter" endarrow="block"/>
              <v:imagedata o:title=""/>
              <o:lock v:ext="edit"/>
            </v:shape>
            <v:shape id="文本框 77" o:spid="_x0000_s1176" o:spt="202" type="#_x0000_t202" style="position:absolute;left:14405;top:6299;height:466;width:1105;" coordsize="21600,21600">
              <v:path/>
              <v:fill focussize="0,0"/>
              <v:stroke weight="0.5pt" joinstyle="miter"/>
              <v:imagedata o:title=""/>
              <o:lock v:ext="edit"/>
              <v:textbox style="mso-fit-shape-to-text:t;">
                <w:txbxContent>
                  <w:p>
                    <w:pPr>
                      <w:jc w:val="center"/>
                      <w:rPr>
                        <w:rFonts w:ascii="宋体" w:hAnsi="宋体"/>
                        <w:sz w:val="15"/>
                        <w:szCs w:val="15"/>
                      </w:rPr>
                    </w:pPr>
                    <w:r>
                      <w:rPr>
                        <w:rFonts w:hint="eastAsia" w:ascii="宋体" w:hAnsi="宋体"/>
                        <w:sz w:val="15"/>
                        <w:szCs w:val="15"/>
                      </w:rPr>
                      <w:t>公告</w:t>
                    </w:r>
                  </w:p>
                </w:txbxContent>
              </v:textbox>
            </v:shape>
            <v:shape id="文本框 84" o:spid="_x0000_s1177" o:spt="202" type="#_x0000_t202" style="position:absolute;left:11304;top:8547;height:738;width:2156;" coordsize="21600,21600">
              <v:path/>
              <v:fill focussize="0,0"/>
              <v:stroke weight="0.5pt" joinstyle="miter"/>
              <v:imagedata o:title=""/>
              <o:lock v:ext="edit"/>
              <v:textbox style="mso-fit-shape-to-text:t;">
                <w:txbxContent>
                  <w:p>
                    <w:pPr>
                      <w:adjustRightInd w:val="0"/>
                      <w:snapToGrid w:val="0"/>
                      <w:rPr>
                        <w:rFonts w:ascii="宋体" w:hAnsi="宋体"/>
                        <w:sz w:val="15"/>
                        <w:szCs w:val="15"/>
                      </w:rPr>
                    </w:pPr>
                    <w:r>
                      <w:rPr>
                        <w:rFonts w:hint="eastAsia" w:ascii="宋体" w:hAnsi="宋体"/>
                        <w:sz w:val="15"/>
                        <w:szCs w:val="15"/>
                      </w:rPr>
                      <w:t>自送达市场主体之日起3个工作日内将认定结果报送至市水务局</w:t>
                    </w:r>
                  </w:p>
                </w:txbxContent>
              </v:textbox>
            </v:shape>
            <v:shape id="文本框 87" o:spid="_x0000_s1178" o:spt="202" type="#_x0000_t202" style="position:absolute;left:13029;top:4004;height:543;width:1270;" stroked="t" coordsize="21600,21600">
              <v:path/>
              <v:fill focussize="0,0"/>
              <v:stroke weight="0.5pt" color="#FFFFFF" joinstyle="miter"/>
              <v:imagedata o:title=""/>
              <o:lock v:ext="edit"/>
              <v:textbox style="mso-fit-shape-to-text:t;">
                <w:txbxContent>
                  <w:p>
                    <w:pPr>
                      <w:adjustRightInd w:val="0"/>
                      <w:snapToGrid w:val="0"/>
                      <w:rPr>
                        <w:sz w:val="15"/>
                        <w:szCs w:val="15"/>
                      </w:rPr>
                    </w:pPr>
                    <w:r>
                      <w:rPr>
                        <w:rFonts w:hint="eastAsia" w:ascii="宋体" w:hAnsi="宋体"/>
                        <w:sz w:val="15"/>
                        <w:szCs w:val="15"/>
                      </w:rPr>
                      <w:t>自</w:t>
                    </w:r>
                    <w:r>
                      <w:rPr>
                        <w:rFonts w:ascii="宋体" w:hAnsi="宋体"/>
                        <w:sz w:val="15"/>
                        <w:szCs w:val="15"/>
                      </w:rPr>
                      <w:t>送达</w:t>
                    </w:r>
                    <w:r>
                      <w:rPr>
                        <w:rFonts w:hint="eastAsia" w:ascii="宋体" w:hAnsi="宋体"/>
                        <w:sz w:val="15"/>
                        <w:szCs w:val="15"/>
                      </w:rPr>
                      <w:t>之日起7个工作日内</w:t>
                    </w:r>
                  </w:p>
                </w:txbxContent>
              </v:textbox>
            </v:shape>
            <v:shape id="直接箭头连接符 2" o:spid="_x0000_s1179" o:spt="32" type="#_x0000_t32" style="position:absolute;left:1790;top:4354;height:4;width:443;"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v:path arrowok="t"/>
              <v:fill on="f" focussize="0,0"/>
              <v:stroke weight="0.5pt" joinstyle="miter" endarrow="block"/>
              <v:imagedata o:title=""/>
              <o:lock v:ext="edit"/>
            </v:shape>
            <v:shape id="直接箭头连接符 6" o:spid="_x0000_s1180" o:spt="32" type="#_x0000_t32" style="position:absolute;left:1780;top:8415;height:0;width:455;"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v:path arrowok="t"/>
              <v:fill on="f" focussize="0,0"/>
              <v:stroke weight="0.5pt" joinstyle="miter" endarrow="block"/>
              <v:imagedata o:title=""/>
              <o:lock v:ext="edit"/>
            </v:shape>
            <v:shape id="文本框 7" o:spid="_x0000_s1181" o:spt="202" type="#_x0000_t202" style="position:absolute;left:2233;top:3182;height:2352;width:610;" coordsize="21600,21600">
              <v:path/>
              <v:fill focussize="0,0"/>
              <v:stroke weight="0.5pt" joinstyle="miter"/>
              <v:imagedata o:title=""/>
              <o:lock v:ext="edit"/>
              <v:textbox style="layout-flow:vertical-ideographic;mso-fit-shape-to-text:t;">
                <w:txbxContent>
                  <w:p>
                    <w:pPr>
                      <w:jc w:val="center"/>
                      <w:rPr>
                        <w:rFonts w:ascii="宋体" w:hAnsi="宋体"/>
                        <w:sz w:val="15"/>
                        <w:szCs w:val="15"/>
                      </w:rPr>
                    </w:pPr>
                    <w:r>
                      <w:rPr>
                        <w:rFonts w:hint="eastAsia" w:ascii="宋体" w:hAnsi="宋体"/>
                        <w:sz w:val="15"/>
                        <w:szCs w:val="15"/>
                      </w:rPr>
                      <w:t>项目</w:t>
                    </w:r>
                    <w:r>
                      <w:rPr>
                        <w:rFonts w:ascii="宋体" w:hAnsi="宋体"/>
                        <w:sz w:val="15"/>
                        <w:szCs w:val="15"/>
                      </w:rPr>
                      <w:t>法人</w:t>
                    </w:r>
                    <w:r>
                      <w:rPr>
                        <w:rFonts w:hint="eastAsia" w:ascii="宋体" w:hAnsi="宋体"/>
                        <w:sz w:val="15"/>
                        <w:szCs w:val="15"/>
                      </w:rPr>
                      <w:t>（建设</w:t>
                    </w:r>
                    <w:r>
                      <w:rPr>
                        <w:rFonts w:ascii="宋体" w:hAnsi="宋体"/>
                        <w:sz w:val="15"/>
                        <w:szCs w:val="15"/>
                      </w:rPr>
                      <w:t>单位</w:t>
                    </w:r>
                    <w:r>
                      <w:rPr>
                        <w:rFonts w:hint="eastAsia" w:ascii="宋体" w:hAnsi="宋体"/>
                        <w:sz w:val="15"/>
                        <w:szCs w:val="15"/>
                      </w:rPr>
                      <w:t>）提出</w:t>
                    </w:r>
                  </w:p>
                </w:txbxContent>
              </v:textbox>
            </v:shape>
            <v:shape id="文本框 7" o:spid="_x0000_s1182" o:spt="202" type="#_x0000_t202" style="position:absolute;left:2233;top:7202;height:2392;width:49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">
              <v:path/>
              <v:fill focussize="0,0"/>
              <v:stroke weight="0.5pt" joinstyle="miter"/>
              <v:imagedata o:title=""/>
              <o:lock v:ext="edit"/>
              <v:textbox style="layout-flow:vertical-ideographic;">
                <w:txbxContent>
                  <w:p>
                    <w:pPr>
                      <w:adjustRightInd w:val="0"/>
                      <w:snapToGrid w:val="0"/>
                      <w:jc w:val="center"/>
                      <w:rPr>
                        <w:rFonts w:ascii="宋体" w:hAnsi="宋体"/>
                        <w:sz w:val="15"/>
                        <w:szCs w:val="15"/>
                      </w:rPr>
                    </w:pPr>
                    <w:r>
                      <w:rPr>
                        <w:rFonts w:hint="eastAsia"/>
                        <w:sz w:val="15"/>
                        <w:szCs w:val="15"/>
                      </w:rPr>
                      <w:t>非</w:t>
                    </w:r>
                    <w:r>
                      <w:rPr>
                        <w:rFonts w:hint="eastAsia" w:ascii="宋体" w:hAnsi="宋体"/>
                        <w:sz w:val="15"/>
                        <w:szCs w:val="15"/>
                      </w:rPr>
                      <w:t>项目</w:t>
                    </w:r>
                    <w:r>
                      <w:rPr>
                        <w:rFonts w:ascii="宋体" w:hAnsi="宋体"/>
                        <w:sz w:val="15"/>
                        <w:szCs w:val="15"/>
                      </w:rPr>
                      <w:t>法人</w:t>
                    </w:r>
                    <w:r>
                      <w:rPr>
                        <w:rFonts w:hint="eastAsia" w:ascii="宋体" w:hAnsi="宋体"/>
                        <w:sz w:val="15"/>
                        <w:szCs w:val="15"/>
                      </w:rPr>
                      <w:t>（建设</w:t>
                    </w:r>
                    <w:r>
                      <w:rPr>
                        <w:rFonts w:ascii="宋体" w:hAnsi="宋体"/>
                        <w:sz w:val="15"/>
                        <w:szCs w:val="15"/>
                      </w:rPr>
                      <w:t>单位</w:t>
                    </w:r>
                    <w:r>
                      <w:rPr>
                        <w:rFonts w:hint="eastAsia" w:ascii="宋体" w:hAnsi="宋体"/>
                        <w:sz w:val="15"/>
                        <w:szCs w:val="15"/>
                      </w:rPr>
                      <w:t>）提出</w:t>
                    </w:r>
                  </w:p>
                  <w:p>
                    <w:pPr>
                      <w:pStyle w:val="49"/>
                      <w:spacing w:before="0" w:beforeAutospacing="0" w:after="0" w:afterAutospacing="0"/>
                    </w:pPr>
                  </w:p>
                </w:txbxContent>
              </v:textbox>
            </v:shape>
            <v:line id="直接连接符 15" o:spid="_x0000_s1183" o:spt="20" style="position:absolute;left:3131;top:7248;height:2427;width: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v:path arrowok="t"/>
              <v:fill focussize="0,0"/>
              <v:stroke weight="0.5pt" joinstyle="miter"/>
              <v:imagedata o:title=""/>
              <o:lock v:ext="edit"/>
            </v:line>
            <v:shape id="文本框 22" o:spid="_x0000_s1184" o:spt="202" type="#_x0000_t202" style="position:absolute;left:3493;top:8206;height:466;width:1440;" coordsize="21600,21600">
              <v:path/>
              <v:fill focussize="0,0"/>
              <v:stroke weight="0.5pt" joinstyle="miter"/>
              <v:imagedata o:title=""/>
              <o:lock v:ext="edit"/>
              <v:textbox style="mso-fit-shape-to-text:t;">
                <w:txbxContent>
                  <w:p>
                    <w:pPr>
                      <w:pStyle w:val="49"/>
                      <w:spacing w:before="0" w:beforeAutospacing="0" w:after="0" w:afterAutospacing="0"/>
                      <w:jc w:val="center"/>
                      <w:rPr>
                        <w:sz w:val="15"/>
                        <w:szCs w:val="15"/>
                      </w:rPr>
                    </w:pPr>
                    <w:r>
                      <w:rPr>
                        <w:sz w:val="15"/>
                        <w:szCs w:val="15"/>
                      </w:rPr>
                      <w:t>招标人提出</w:t>
                    </w:r>
                    <w:r>
                      <w:rPr>
                        <w:rFonts w:hint="eastAsia"/>
                        <w:sz w:val="15"/>
                        <w:szCs w:val="15"/>
                      </w:rPr>
                      <w:t>情形</w:t>
                    </w:r>
                  </w:p>
                </w:txbxContent>
              </v:textbox>
            </v:shape>
            <v:shape id="文本框 22" o:spid="_x0000_s1185" o:spt="202" type="#_x0000_t202" style="position:absolute;left:3493;top:9500;height:466;width:1440;" coordsize="21600,21600">
              <v:path/>
              <v:fill focussize="0,0"/>
              <v:stroke weight="0.5pt" joinstyle="miter"/>
              <v:imagedata o:title=""/>
              <o:lock v:ext="edit"/>
              <v:textbox style="mso-fit-shape-to-text:t;">
                <w:txbxContent>
                  <w:p>
                    <w:pPr>
                      <w:pStyle w:val="49"/>
                      <w:spacing w:before="0" w:beforeAutospacing="0" w:after="0" w:afterAutospacing="0"/>
                      <w:ind w:left="7" w:leftChars="-64" w:hanging="141" w:hangingChars="94"/>
                      <w:jc w:val="center"/>
                      <w:rPr>
                        <w:sz w:val="15"/>
                        <w:szCs w:val="15"/>
                      </w:rPr>
                    </w:pPr>
                    <w:r>
                      <w:rPr>
                        <w:rFonts w:hint="eastAsia"/>
                        <w:sz w:val="15"/>
                        <w:szCs w:val="15"/>
                      </w:rPr>
                      <w:t xml:space="preserve"> 监督</w:t>
                    </w:r>
                    <w:r>
                      <w:rPr>
                        <w:sz w:val="15"/>
                        <w:szCs w:val="15"/>
                      </w:rPr>
                      <w:t>机构</w:t>
                    </w:r>
                    <w:r>
                      <w:rPr>
                        <w:rFonts w:hint="eastAsia"/>
                        <w:sz w:val="15"/>
                        <w:szCs w:val="15"/>
                      </w:rPr>
                      <w:t>提出情形</w:t>
                    </w:r>
                  </w:p>
                </w:txbxContent>
              </v:textbox>
            </v:shape>
            <v:shape id="肘形连接符 24" o:spid="_x0000_s1186" o:spt="34" type="#_x0000_t34" style="position:absolute;left:4538;top:8308;flip:x y;height:898;width:1688;rotation:5898240f;" o:connectortype="elbow"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" adj="49">
              <v:path arrowok="t"/>
              <v:fill on="f" focussize="0,0"/>
              <v:stroke weight="0.5pt" endarrow="block"/>
              <v:imagedata o:title=""/>
              <o:lock v:ext="edit"/>
            </v:shape>
            <v:line id="直接连接符 25" o:spid="_x0000_s1187" o:spt="20" style="position:absolute;left:4933;top:8433;flip:y;height:6;width:89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v:path arrowok="t"/>
              <v:fill focussize="0,0"/>
              <v:stroke weight="0.5pt" joinstyle="miter"/>
              <v:imagedata o:title=""/>
              <o:lock v:ext="edit"/>
            </v:line>
            <v:shape id="肘形连接符 41" o:spid="_x0000_s1188" o:spt="34" type="#_x0000_t34" style="position:absolute;left:4543;top:8303;height:1078;width:1858;rotation:5898240f;" o:connectortype="elbow"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" adj="21631">
              <v:path arrowok="t"/>
              <v:fill on="f" focussize="0,0"/>
              <v:stroke weight="0.5pt" endarrow="block"/>
              <v:imagedata o:title=""/>
              <o:lock v:ext="edit"/>
            </v:shape>
            <v:group id="组合 69" o:spid="_x0000_s1189" o:spt="203" style="position:absolute;left:4933;top:8237;height:189;width:1078;" coordorigin="23384,36467" coordsize="6849,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v:shape id="直接箭头连接符 62" o:spid="_x0000_s1190" o:spt="32" type="#_x0000_t32" style="position:absolute;left:23384;top:37104;flip:x;height:2;width:4935;"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">
                <v:path arrowok="t"/>
                <v:fill on="f" focussize="0,0"/>
                <v:stroke weight="0.5pt" joinstyle="miter" endarrow="block"/>
                <v:imagedata o:title=""/>
                <o:lock v:ext="edit"/>
              </v:shape>
              <v:shape id="弧形 66" o:spid="_x0000_s1191" o:spt="100" style="position:absolute;left:28359;top:36467;flip:y;height:1198;width:1350;rotation:-11534688f;v-text-anchor:middle;" filled="f" coordsize="135045,1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" adj=",," path="m592,67798nsc-2946,44266,9525,21102,32383,8748c51685,-1684,75592,-2859,96075,5618c119849,15457,135045,36617,135045,59884l67523,59883,592,67798xem592,67798nfc-2946,44266,9525,21102,32383,8748c51685,-1684,75592,-2859,96075,5618c119849,15457,135045,36617,135045,59884e">
                <v:path arrowok="t" o:connecttype="custom" o:connectlocs="592,67798;32383,8748;96075,5618;135045,59884" o:connectangles="0,0,0,0"/>
                <v:fill on="f" focussize="0,0"/>
                <v:stroke weight="0.5pt" joinstyle="miter"/>
                <v:imagedata o:title=""/>
                <o:lock v:ext="edit"/>
              </v:shape>
              <v:line id="直接连接符 67" o:spid="_x0000_s1192" o:spt="20" style="position:absolute;left:29707;top:37090;flip:y;height:7;width:52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">
                <v:path arrowok="t"/>
                <v:fill focussize="0,0"/>
                <v:stroke weight="0.5pt" joinstyle="miter"/>
                <v:imagedata o:title=""/>
                <o:lock v:ext="edit"/>
              </v:line>
            </v:group>
            <v:shape id="直接箭头连接符 91" o:spid="_x0000_s1193" o:spt="32" type="#_x0000_t32" style="position:absolute;left:6166;top:6493;height:11;width:482;" o:connectortype="straight" filled="f" coordsize="21600,21600">
              <v:path arrowok="t"/>
              <v:fill on="f" focussize="0,0"/>
              <v:stroke weight="0.5pt" joinstyle="miter" endarrow="block"/>
              <v:imagedata o:title=""/>
              <o:lock v:ext="edit"/>
            </v:shape>
            <v:shape id="文本框 92" o:spid="_x0000_s1194" o:spt="202" type="#_x0000_t202" style="position:absolute;left:6648;top:6232;height:543;width:449;mso-wrap-style:none;" coordsize="21600,21600">
              <v:path/>
              <v:fill focussize="0,0"/>
              <v:stroke weight="0.5pt" joinstyle="miter"/>
              <v:imagedata o:title=""/>
              <o:lock v:ext="edit"/>
              <v:textbox style="mso-fit-shape-to-text:t;">
                <w:txbxContent>
                  <w:p>
                    <w:pPr>
                      <w:adjustRightInd w:val="0"/>
                      <w:snapToGrid w:val="0"/>
                      <w:rPr>
                        <w:rFonts w:ascii="宋体" w:hAnsi="宋体"/>
                        <w:sz w:val="15"/>
                        <w:szCs w:val="15"/>
                      </w:rPr>
                    </w:pPr>
                    <w:r>
                      <w:rPr>
                        <w:rFonts w:ascii="宋体" w:hAnsi="宋体"/>
                        <w:sz w:val="15"/>
                        <w:szCs w:val="15"/>
                      </w:rPr>
                      <w:t>送</w:t>
                    </w:r>
                  </w:p>
                  <w:p>
                    <w:pPr>
                      <w:adjustRightInd w:val="0"/>
                      <w:snapToGrid w:val="0"/>
                      <w:rPr>
                        <w:rFonts w:ascii="宋体" w:hAnsi="宋体"/>
                        <w:sz w:val="15"/>
                        <w:szCs w:val="15"/>
                      </w:rPr>
                    </w:pPr>
                    <w:r>
                      <w:rPr>
                        <w:rFonts w:ascii="宋体" w:hAnsi="宋体"/>
                        <w:sz w:val="15"/>
                        <w:szCs w:val="15"/>
                      </w:rPr>
                      <w:t>达</w:t>
                    </w:r>
                  </w:p>
                </w:txbxContent>
              </v:textbox>
            </v:shape>
            <v:line id="直接连接符 98" o:spid="_x0000_s1195" o:spt="20" style="position:absolute;left:6860;top:4275;flip:x y;height:1957;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">
              <v:path arrowok="t"/>
              <v:fill focussize="0,0"/>
              <v:stroke weight="0.5pt" joinstyle="miter"/>
              <v:imagedata o:title=""/>
              <o:lock v:ext="edit"/>
            </v:line>
            <v:line id="直接连接符 99" o:spid="_x0000_s1196" o:spt="20" style="position:absolute;left:6860;top:4275;height:0;width:182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v:path arrowok="t"/>
              <v:fill focussize="0,0"/>
              <v:stroke weight="0.5pt" joinstyle="miter"/>
              <v:imagedata o:title=""/>
              <o:lock v:ext="edit"/>
            </v:line>
            <v:shape id="直接箭头连接符 100" o:spid="_x0000_s1197" o:spt="32" type="#_x0000_t32" style="position:absolute;left:8692;top:4277;height:1869;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">
              <v:path arrowok="t"/>
              <v:fill on="f" focussize="0,0"/>
              <v:stroke weight="0.5pt" joinstyle="miter" endarrow="block"/>
              <v:imagedata o:title=""/>
              <o:lock v:ext="edit"/>
            </v:shape>
            <v:shape id="文本框 103" o:spid="_x0000_s1198" o:spt="202" type="#_x0000_t202" style="position:absolute;left:10561;top:6267;height:349;width:726;" coordsize="21600,21600">
              <v:path/>
              <v:fill focussize="0,0"/>
              <v:stroke weight="0.5pt" joinstyle="miter"/>
              <v:imagedata o:title=""/>
              <o:lock v:ext="edit"/>
              <v:textbox style="mso-fit-shape-to-text:t;">
                <w:txbxContent>
                  <w:p>
                    <w:pPr>
                      <w:adjustRightInd w:val="0"/>
                      <w:snapToGrid w:val="0"/>
                      <w:jc w:val="center"/>
                      <w:rPr>
                        <w:rFonts w:ascii="宋体" w:hAnsi="宋体"/>
                        <w:sz w:val="15"/>
                        <w:szCs w:val="15"/>
                      </w:rPr>
                    </w:pPr>
                    <w:r>
                      <w:rPr>
                        <w:rFonts w:ascii="宋体" w:hAnsi="宋体"/>
                        <w:sz w:val="15"/>
                        <w:szCs w:val="15"/>
                      </w:rPr>
                      <w:t>送达</w:t>
                    </w:r>
                  </w:p>
                </w:txbxContent>
              </v:textbox>
            </v:shape>
            <v:shape id="肘形连接符 105" o:spid="_x0000_s1199" o:spt="34" type="#_x0000_t34" style="position:absolute;left:10777;top:6941;flip:y;height:1095;width:2115;rotation:-5898240f;" filled="f" coordsize="21600,21600" adj="163">
              <v:path arrowok="t"/>
              <v:fill on="f" focussize="0,0"/>
              <v:stroke weight="0.5pt" endarrow="block"/>
              <v:imagedata o:title=""/>
              <o:lock v:ext="edit"/>
            </v:shape>
            <v:shape id="肘形连接符 108" o:spid="_x0000_s1200" o:spt="34" type="#_x0000_t34" style="position:absolute;left:13090;top:7040;flip:x y;height:1520;width:2257;rotation:5898240f;" o:connectortype="elbow"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" adj="-340">
              <v:path arrowok="t"/>
              <v:fill on="f" focussize="0,0"/>
              <v:stroke weight="0.5pt" endarrow="block"/>
              <v:imagedata o:title=""/>
              <o:lock v:ext="edit"/>
            </v:shape>
            <v:line id="直接连接符 112" o:spid="_x0000_s1202" o:spt="20" style="position:absolute;left:2843;top:4275;height:1;width:316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v:path arrowok="t"/>
              <v:fill focussize="0,0"/>
              <v:stroke weight="0.5pt" joinstyle="miter"/>
              <v:imagedata o:title=""/>
              <o:lock v:ext="edit"/>
            </v:line>
            <v:shape id="直接箭头连接符 113" o:spid="_x0000_s1203" o:spt="32" type="#_x0000_t32" style="position:absolute;left:6011;top:4275;height:707;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">
              <v:path arrowok="t"/>
              <v:fill on="f" focussize="0,0"/>
              <v:stroke weight="0.5pt" joinstyle="miter" endarrow="block"/>
              <v:imagedata o:title=""/>
              <o:lock v:ext="edit"/>
            </v:shape>
            <v:line id="直接连接符 116" o:spid="_x0000_s1204" o:spt="20" style="position:absolute;left:5831;top:4455;flip:y;height:527;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">
              <v:path arrowok="t"/>
              <v:fill focussize="0,0"/>
              <v:stroke weight="0.5pt" joinstyle="miter"/>
              <v:imagedata o:title=""/>
              <o:lock v:ext="edit"/>
            </v:line>
            <v:shape id="直接箭头连接符 117" o:spid="_x0000_s1205" o:spt="32" type="#_x0000_t32" style="position:absolute;left:2843;top:4455;flip:x;height:3;width:2993;" o:connectortype="straight" filled="f" coordsize="21600,21600">
              <v:path arrowok="t"/>
              <v:fill on="f" focussize="0,0"/>
              <v:stroke weight="0.5pt" joinstyle="miter" endarrow="block"/>
              <v:imagedata o:title=""/>
              <o:lock v:ext="edit"/>
            </v:shape>
            <v:line id="直接连接符 119" o:spid="_x0000_s1206" o:spt="20" style="position:absolute;left:2724;top:8412;height:0;width:41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">
              <v:path arrowok="t"/>
              <v:fill focussize="0,0"/>
              <v:stroke weight="0.5pt" joinstyle="miter"/>
              <v:imagedata o:title=""/>
              <o:lock v:ext="edit"/>
            </v:line>
            <v:line id="直接连接符 119" o:spid="_x0000_s1207" o:spt="20" style="position:absolute;left:3131;top:8412;height:0;width:36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">
              <v:path arrowok="t"/>
              <v:fill focussize="0,0"/>
              <v:stroke weight="0.5pt" joinstyle="miter"/>
              <v:imagedata o:title=""/>
              <o:lock v:ext="edit"/>
            </v:line>
            <v:line id="直接连接符 119" o:spid="_x0000_s1208" o:spt="20" style="position:absolute;left:3136;top:9662;height:0;width:35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">
              <v:path arrowok="t"/>
              <v:fill focussize="0,0"/>
              <v:stroke weight="0.5pt" joinstyle="miter"/>
              <v:imagedata o:title=""/>
              <o:lock v:ext="edit"/>
            </v:line>
            <v:shape id="文本框 22" o:spid="_x0000_s1209" o:spt="202" type="#_x0000_t202" style="position:absolute;left:3500;top:7020;height:466;width:1440;" coordsize="21600,21600">
              <v:path/>
              <v:fill focussize="0,0"/>
              <v:stroke weight="0.5pt" joinstyle="miter"/>
              <v:imagedata o:title=""/>
              <o:lock v:ext="edit"/>
              <v:textbox style="mso-fit-shape-to-text:t;">
                <w:txbxContent>
                  <w:p>
                    <w:pPr>
                      <w:pStyle w:val="49"/>
                      <w:spacing w:before="0" w:beforeAutospacing="0" w:after="0" w:afterAutospacing="0"/>
                      <w:ind w:left="37" w:leftChars="-14" w:right="-128" w:rightChars="-61" w:hanging="66" w:hangingChars="44"/>
                      <w:rPr>
                        <w:sz w:val="15"/>
                        <w:szCs w:val="15"/>
                      </w:rPr>
                    </w:pPr>
                    <w:r>
                      <w:rPr>
                        <w:rFonts w:hint="eastAsia"/>
                        <w:sz w:val="15"/>
                        <w:szCs w:val="15"/>
                      </w:rPr>
                      <w:t>直接启动初认情形</w:t>
                    </w:r>
                  </w:p>
                </w:txbxContent>
              </v:textbox>
            </v:shape>
            <v:line id="直接连接符 119" o:spid="_x0000_s1210" o:spt="20" style="position:absolute;left:3136;top:7248;height:1;width:35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">
              <v:path arrowok="t"/>
              <v:fill focussize="0,0"/>
              <v:stroke weight="0.5pt" joinstyle="miter"/>
              <v:imagedata o:title=""/>
              <o:lock v:ext="edit"/>
            </v:line>
            <v:shape id="_x0000_s1212" o:spid="_x0000_s1212" o:spt="35" type="#_x0000_t35" style="position:absolute;left:12387;top:6299;flip:y;height:151;width:2570;" filled="f" coordsize="21600,21600" adj="-41,283089">
              <v:path arrowok="t"/>
              <v:fill on="f" focussize="0,0"/>
              <v:stroke weight="0.5pt" endarrow="block"/>
              <v:imagedata o:title=""/>
              <o:lock v:ext="edit"/>
            </v:shape>
            <v:shape id="_x0000_s1213" o:spid="_x0000_s1213" o:spt="202" type="#_x0000_t202" style="position:absolute;left:5911;top:8484;height:1345;width:946;" stroked="f" coordsize="21600,21600">
              <v:path/>
              <v:fill opacity="0f" focussize="0,0"/>
              <v:stroke on="f" weight="0.5pt" joinstyle="miter"/>
              <v:imagedata o:title=""/>
              <o:lock v:ext="edit"/>
              <v:textbox>
                <w:txbxContent>
                  <w:p>
                    <w:pPr>
                      <w:pStyle w:val="49"/>
                      <w:adjustRightInd w:val="0"/>
                      <w:snapToGrid w:val="0"/>
                      <w:spacing w:before="0" w:beforeAutospacing="0" w:after="0" w:afterAutospacing="0"/>
                      <w:rPr>
                        <w:sz w:val="15"/>
                        <w:szCs w:val="15"/>
                      </w:rPr>
                    </w:pPr>
                    <w:r>
                      <w:rPr>
                        <w:rFonts w:hint="eastAsia" w:ascii="宋体" w:hAnsi="宋体" w:cstheme="minorBidi"/>
                        <w:sz w:val="15"/>
                        <w:szCs w:val="15"/>
                      </w:rPr>
                      <w:t>当申请不成立时，向申请人反馈</w:t>
                    </w:r>
                    <w:r>
                      <w:rPr>
                        <w:rFonts w:hint="eastAsia" w:cstheme="minorBidi"/>
                        <w:sz w:val="15"/>
                        <w:szCs w:val="15"/>
                      </w:rPr>
                      <w:t>意见</w:t>
                    </w:r>
                  </w:p>
                </w:txbxContent>
              </v:textbox>
            </v:shape>
            <v:shape id="直接箭头连接符 91" o:spid="_x0000_s1341" o:spt="32" type="#_x0000_t32" style="position:absolute;left:4940;top:7249;height:11;width:714;" o:connectortype="straight" filled="f" coordsize="21600,21600">
              <v:path arrowok="t"/>
              <v:fill on="f" focussize="0,0"/>
              <v:stroke weight="0.5pt" joinstyle="miter" endarrow="block"/>
              <v:imagedata o:title=""/>
              <o:lock v:ext="edit"/>
            </v:shape>
            <w10:wrap type="none"/>
            <w10:anchorlock/>
          </v:group>
        </w:pict>
      </w:r>
    </w:p>
    <w:p>
      <w:pPr>
        <w:spacing w:line="500" w:lineRule="exact"/>
        <w:ind w:left="-1558" w:leftChars="-742"/>
        <w:rPr>
          <w:rFonts w:ascii="仿宋_GB2312" w:eastAsia="仿宋_GB2312"/>
          <w:kern w:val="0"/>
          <w:szCs w:val="21"/>
        </w:rPr>
        <w:sectPr>
          <w:pgSz w:w="16838" w:h="11906" w:orient="landscape"/>
          <w:pgMar w:top="1588" w:right="2268" w:bottom="1418" w:left="2268" w:header="1418" w:footer="1418" w:gutter="0"/>
          <w:cols w:space="720" w:num="1"/>
          <w:docGrid w:type="lines" w:linePitch="312" w:charSpace="0"/>
        </w:sectPr>
      </w:pPr>
      <w:r>
        <w:rPr>
          <w:rFonts w:asciiTheme="minorHAnsi" w:eastAsiaTheme="minorEastAsia"/>
          <w:sz w:val="22"/>
        </w:rPr>
        <w:pict>
          <v:shape id="文本框 93" o:spid="_x0000_s1151" o:spt="202" type="#_x0000_t202" style="position:absolute;left:0pt;margin-left:3.8pt;margin-top:388.15pt;height:18pt;width:397.1pt;z-index:251660288;mso-width-relative:page;mso-height-relative:page;"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v:path/>
            <v:fill focussize="0,0"/>
            <v:stroke on="f" weight="0.5pt" joinstyle="miter"/>
            <v:imagedata o:title=""/>
            <o:lock v:ext="edit"/>
            <v:textbox>
              <w:txbxContent>
                <w:p>
                  <w:pPr>
                    <w:rPr>
                      <w:rFonts w:ascii="宋体" w:hAnsi="宋体"/>
                      <w:sz w:val="15"/>
                      <w:szCs w:val="15"/>
                    </w:rPr>
                  </w:pPr>
                  <w:r>
                    <w:rPr>
                      <w:rFonts w:hint="eastAsia" w:ascii="宋体" w:hAnsi="宋体"/>
                      <w:sz w:val="15"/>
                      <w:szCs w:val="15"/>
                    </w:rPr>
                    <w:t>注明：认定文书建议优先采用直接送达或（和）邮寄送达方式。</w:t>
                  </w:r>
                </w:p>
              </w:txbxContent>
            </v:textbox>
          </v:shape>
        </w:pict>
      </w:r>
    </w:p>
    <w:p>
      <w:pPr>
        <w:adjustRightInd w:val="0"/>
        <w:snapToGrid w:val="0"/>
        <w:spacing w:line="460" w:lineRule="exact"/>
        <w:rPr>
          <w:rFonts w:ascii="黑体" w:hAnsi="黑体" w:eastAsia="黑体"/>
          <w:sz w:val="28"/>
          <w:szCs w:val="24"/>
        </w:rPr>
      </w:pPr>
      <w:r>
        <w:rPr>
          <w:rFonts w:hint="eastAsia" w:ascii="黑体" w:hAnsi="黑体" w:eastAsia="黑体"/>
          <w:sz w:val="28"/>
          <w:szCs w:val="24"/>
        </w:rPr>
        <w:t>附件</w:t>
      </w:r>
      <w:r>
        <w:rPr>
          <w:rFonts w:ascii="黑体" w:hAnsi="黑体" w:eastAsia="黑体"/>
          <w:sz w:val="28"/>
          <w:szCs w:val="24"/>
        </w:rPr>
        <w:t>8</w:t>
      </w:r>
    </w:p>
    <w:p>
      <w:pPr>
        <w:adjustRightInd w:val="0"/>
        <w:snapToGrid w:val="0"/>
        <w:spacing w:line="420" w:lineRule="exact"/>
        <w:jc w:val="center"/>
        <w:rPr>
          <w:rFonts w:ascii="方正小标宋_GBK" w:hAnsi="宋体" w:eastAsia="方正小标宋_GBK"/>
          <w:sz w:val="36"/>
          <w:szCs w:val="36"/>
        </w:rPr>
      </w:pPr>
      <w:r>
        <w:rPr>
          <w:rFonts w:hint="eastAsia" w:ascii="方正小标宋_GBK" w:hAnsi="宋体" w:eastAsia="方正小标宋_GBK"/>
          <w:sz w:val="36"/>
          <w:szCs w:val="36"/>
        </w:rPr>
        <w:t>深圳市水务建设市场主体严重不良行为信息</w:t>
      </w:r>
    </w:p>
    <w:p>
      <w:pPr>
        <w:adjustRightInd w:val="0"/>
        <w:snapToGrid w:val="0"/>
        <w:spacing w:line="420" w:lineRule="exact"/>
        <w:jc w:val="center"/>
        <w:rPr>
          <w:rFonts w:ascii="宋体" w:hAnsi="宋体"/>
          <w:sz w:val="32"/>
          <w:szCs w:val="36"/>
        </w:rPr>
      </w:pPr>
      <w:r>
        <w:rPr>
          <w:rFonts w:hint="eastAsia" w:ascii="方正小标宋_GBK" w:hAnsi="宋体" w:eastAsia="方正小标宋_GBK"/>
          <w:sz w:val="36"/>
          <w:szCs w:val="36"/>
        </w:rPr>
        <w:t>在招投标方面的应用细则</w:t>
      </w:r>
    </w:p>
    <w:p>
      <w:pPr>
        <w:adjustRightInd w:val="0"/>
        <w:snapToGrid w:val="0"/>
        <w:spacing w:line="420" w:lineRule="exact"/>
        <w:ind w:firstLine="480" w:firstLineChars="200"/>
        <w:rPr>
          <w:rFonts w:ascii="宋体" w:hAnsi="宋体"/>
          <w:sz w:val="24"/>
          <w:szCs w:val="24"/>
        </w:rPr>
      </w:pP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一、因违反安全生产、工程质量管理规定，对事故发生负有责任而被记严重等级不良行为的：</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（一）</w:t>
      </w:r>
      <w:r>
        <w:rPr>
          <w:rFonts w:hint="eastAsia" w:ascii="宋体" w:hAnsi="宋体"/>
          <w:spacing w:val="2"/>
          <w:sz w:val="24"/>
          <w:szCs w:val="24"/>
        </w:rPr>
        <w:t>对造成一般质量或者一般安全事故负有责任的市场主体，未造成人员死亡</w:t>
      </w:r>
      <w:r>
        <w:rPr>
          <w:rFonts w:hint="eastAsia" w:ascii="宋体" w:hAnsi="宋体"/>
          <w:sz w:val="24"/>
          <w:szCs w:val="24"/>
        </w:rPr>
        <w:t>的，拒绝其2个月内参加政府投资的水务建设市场招投标、政府采购（含自行采购）活动；造成1人死亡的，拒绝其3个月内参加政府投资的水务建设市场招投标、政府采购（含自行采购）活动；造成2人死亡的，拒绝其6个月内参加政府投资的水务建设市场招投标、政府采购（含自行采购）活动。</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（二）</w:t>
      </w:r>
      <w:r>
        <w:rPr>
          <w:rFonts w:hint="eastAsia" w:ascii="宋体" w:hAnsi="宋体"/>
          <w:spacing w:val="2"/>
          <w:sz w:val="24"/>
          <w:szCs w:val="24"/>
        </w:rPr>
        <w:t>对造成较大质量或者较大安全事故负有责任的市场主体，未造成人员死亡</w:t>
      </w:r>
      <w:r>
        <w:rPr>
          <w:rFonts w:hint="eastAsia" w:ascii="宋体" w:hAnsi="宋体"/>
          <w:sz w:val="24"/>
          <w:szCs w:val="24"/>
        </w:rPr>
        <w:t>的，拒绝其8个月内参加政府投资的水务建设市场招投标、政府采购（含自行采购）活动；造成3—9人死亡的，拒绝其1年内参加政府投资的水务建设市场招投标、政府采购（含自行采购）活动。</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（三）对造成重特大质量或者重特大安全事故负有责任的市场主体，无限期拒绝其参加政府投资的水务建设市场招投标、政府采购（含自行采购）活动。</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二、在招投标活动中，因存在下列行为而被记严重不良行为的市场主体，拒绝其2年内参加政府投资的水务建设市场招投标、政府采购（含自行采购）活动：</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(一)投标人以他人名义投标或者以其他方式弄虚作假，骗取中标的；</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(二)相互串通投标或者与招标人串通投标的，以向招标人或者评标委员会成员行贿的手段谋取中标的；</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(三)中标人将中标项目转让给他人的，将中标项目肢解后分别转让给他人的，违反有关法律、法规规定将中标项目的部分主体、关键性工作分包给他人的，或者分包人再次分包的。</w:t>
      </w:r>
    </w:p>
    <w:p>
      <w:pPr>
        <w:spacing w:line="420" w:lineRule="exact"/>
        <w:ind w:firstLine="480" w:firstLineChars="200"/>
        <w:rPr>
          <w:rFonts w:ascii="宋体" w:hAnsi="宋体"/>
          <w:sz w:val="24"/>
          <w:szCs w:val="24"/>
        </w:rPr>
      </w:pPr>
      <w:r>
        <w:rPr>
          <w:rFonts w:hint="eastAsia" w:ascii="宋体" w:hAnsi="宋体"/>
          <w:sz w:val="24"/>
          <w:szCs w:val="24"/>
        </w:rPr>
        <w:t>三、其他因一个年度内扣分值累计达40分及以上的，每认定一次严重等级不良行为，即拒绝其一年内参加政府投资的水务建设市场招投标、政府采购（含自行采购）活动。</w:t>
      </w:r>
    </w:p>
    <w:p>
      <w:pPr>
        <w:rPr>
          <w:rFonts w:ascii="宋体" w:hAnsi="宋体"/>
          <w:sz w:val="24"/>
          <w:szCs w:val="24"/>
        </w:rPr>
        <w:sectPr>
          <w:pgSz w:w="11906" w:h="16838"/>
          <w:pgMar w:top="2268" w:right="1418" w:bottom="2268" w:left="1588" w:header="1418" w:footer="1418" w:gutter="0"/>
          <w:cols w:space="720" w:num="1"/>
          <w:docGrid w:type="lines" w:linePitch="312" w:charSpace="0"/>
        </w:sectPr>
      </w:pPr>
    </w:p>
    <w:p>
      <w:pPr>
        <w:spacing w:line="400" w:lineRule="atLeast"/>
        <w:jc w:val="left"/>
        <w:rPr>
          <w:rFonts w:ascii="黑体" w:hAnsi="黑体" w:eastAsia="黑体" w:cs="宋体"/>
          <w:sz w:val="32"/>
          <w:szCs w:val="24"/>
        </w:rPr>
      </w:pPr>
      <w:r>
        <w:rPr>
          <w:rFonts w:hint="eastAsia" w:ascii="黑体" w:hAnsi="黑体" w:eastAsia="黑体" w:cs="宋体"/>
          <w:sz w:val="32"/>
          <w:szCs w:val="24"/>
        </w:rPr>
        <w:t>附件</w:t>
      </w:r>
      <w:r>
        <w:rPr>
          <w:rFonts w:ascii="黑体" w:hAnsi="黑体" w:eastAsia="黑体" w:cs="宋体"/>
          <w:sz w:val="32"/>
          <w:szCs w:val="24"/>
        </w:rPr>
        <w:t>9</w:t>
      </w:r>
    </w:p>
    <w:p>
      <w:pPr>
        <w:spacing w:line="400" w:lineRule="atLeast"/>
        <w:rPr>
          <w:rFonts w:ascii="宋体" w:hAnsi="宋体" w:cs="宋体"/>
          <w:sz w:val="24"/>
          <w:szCs w:val="24"/>
        </w:rPr>
      </w:pPr>
    </w:p>
    <w:p>
      <w:pPr>
        <w:spacing w:line="400" w:lineRule="atLeas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深圳市水务建设市场主体嘉奖（通报表扬）清单及缩短</w:t>
      </w:r>
    </w:p>
    <w:p>
      <w:pPr>
        <w:spacing w:line="400" w:lineRule="atLeast"/>
        <w:jc w:val="center"/>
        <w:rPr>
          <w:rFonts w:ascii="宋体" w:hAnsi="宋体" w:cs="宋体"/>
          <w:sz w:val="36"/>
          <w:szCs w:val="36"/>
        </w:rPr>
      </w:pPr>
      <w:r>
        <w:rPr>
          <w:rFonts w:hint="eastAsia" w:ascii="方正小标宋_GBK" w:hAnsi="宋体" w:eastAsia="方正小标宋_GBK" w:cs="宋体"/>
          <w:sz w:val="36"/>
          <w:szCs w:val="36"/>
        </w:rPr>
        <w:t>不良行为公告期一览表</w:t>
      </w:r>
    </w:p>
    <w:p>
      <w:pPr>
        <w:spacing w:line="400" w:lineRule="atLeast"/>
        <w:jc w:val="center"/>
        <w:rPr>
          <w:rFonts w:ascii="宋体" w:hAnsi="宋体" w:cs="宋体"/>
          <w:sz w:val="36"/>
          <w:szCs w:val="36"/>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977"/>
        <w:gridCol w:w="326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vAlign w:val="center"/>
          </w:tcPr>
          <w:p>
            <w:pPr>
              <w:jc w:val="center"/>
              <w:rPr>
                <w:rFonts w:ascii="黑体" w:hAnsi="黑体" w:eastAsia="黑体"/>
                <w:sz w:val="24"/>
                <w:szCs w:val="21"/>
              </w:rPr>
            </w:pPr>
            <w:r>
              <w:rPr>
                <w:rFonts w:hint="eastAsia" w:ascii="黑体" w:hAnsi="黑体" w:eastAsia="黑体"/>
                <w:sz w:val="24"/>
                <w:szCs w:val="21"/>
              </w:rPr>
              <w:t>序号</w:t>
            </w:r>
          </w:p>
        </w:tc>
        <w:tc>
          <w:tcPr>
            <w:tcW w:w="2977" w:type="dxa"/>
            <w:vAlign w:val="center"/>
          </w:tcPr>
          <w:p>
            <w:pPr>
              <w:jc w:val="center"/>
              <w:rPr>
                <w:rFonts w:ascii="黑体" w:hAnsi="黑体" w:eastAsia="黑体"/>
                <w:sz w:val="24"/>
                <w:szCs w:val="21"/>
              </w:rPr>
            </w:pPr>
            <w:r>
              <w:rPr>
                <w:rFonts w:hint="eastAsia" w:ascii="黑体" w:hAnsi="黑体" w:eastAsia="黑体"/>
                <w:sz w:val="24"/>
                <w:szCs w:val="21"/>
              </w:rPr>
              <w:t>嘉奖（通报表扬）清单</w:t>
            </w:r>
          </w:p>
        </w:tc>
        <w:tc>
          <w:tcPr>
            <w:tcW w:w="3260" w:type="dxa"/>
            <w:vAlign w:val="center"/>
          </w:tcPr>
          <w:p>
            <w:pPr>
              <w:jc w:val="center"/>
              <w:rPr>
                <w:rFonts w:ascii="黑体" w:hAnsi="黑体" w:eastAsia="黑体"/>
                <w:sz w:val="24"/>
                <w:szCs w:val="21"/>
              </w:rPr>
            </w:pPr>
            <w:r>
              <w:rPr>
                <w:rFonts w:hint="eastAsia" w:ascii="黑体" w:hAnsi="黑体" w:eastAsia="黑体"/>
                <w:sz w:val="24"/>
                <w:szCs w:val="21"/>
              </w:rPr>
              <w:t>颁发单位</w:t>
            </w:r>
          </w:p>
        </w:tc>
        <w:tc>
          <w:tcPr>
            <w:tcW w:w="1920" w:type="dxa"/>
            <w:vAlign w:val="center"/>
          </w:tcPr>
          <w:p>
            <w:pPr>
              <w:jc w:val="center"/>
              <w:rPr>
                <w:rFonts w:ascii="黑体" w:hAnsi="黑体" w:eastAsia="黑体"/>
                <w:sz w:val="24"/>
                <w:szCs w:val="21"/>
              </w:rPr>
            </w:pPr>
            <w:r>
              <w:rPr>
                <w:rFonts w:hint="eastAsia" w:ascii="黑体" w:hAnsi="黑体" w:eastAsia="黑体"/>
                <w:sz w:val="24"/>
                <w:szCs w:val="21"/>
              </w:rPr>
              <w:t>缩短公告期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vAlign w:val="center"/>
          </w:tcPr>
          <w:p>
            <w:pPr>
              <w:jc w:val="center"/>
              <w:rPr>
                <w:rFonts w:ascii="宋体" w:hAnsi="宋体"/>
                <w:szCs w:val="21"/>
              </w:rPr>
            </w:pPr>
            <w:r>
              <w:rPr>
                <w:rFonts w:ascii="宋体" w:hAnsi="宋体"/>
                <w:szCs w:val="21"/>
              </w:rPr>
              <w:t>1</w:t>
            </w:r>
          </w:p>
        </w:tc>
        <w:tc>
          <w:tcPr>
            <w:tcW w:w="2977" w:type="dxa"/>
            <w:vAlign w:val="center"/>
          </w:tcPr>
          <w:p>
            <w:pPr>
              <w:jc w:val="center"/>
              <w:rPr>
                <w:rFonts w:ascii="宋体" w:hAnsi="宋体"/>
                <w:szCs w:val="21"/>
              </w:rPr>
            </w:pPr>
            <w:r>
              <w:rPr>
                <w:rFonts w:hint="eastAsia" w:ascii="宋体" w:hAnsi="宋体"/>
                <w:szCs w:val="21"/>
              </w:rPr>
              <w:t>国务院嘉奖令</w:t>
            </w:r>
          </w:p>
          <w:p>
            <w:pPr>
              <w:jc w:val="center"/>
              <w:rPr>
                <w:rFonts w:ascii="宋体" w:hAnsi="宋体"/>
                <w:szCs w:val="21"/>
              </w:rPr>
            </w:pPr>
            <w:r>
              <w:rPr>
                <w:rFonts w:hint="eastAsia" w:ascii="宋体" w:hAnsi="宋体"/>
                <w:szCs w:val="21"/>
              </w:rPr>
              <w:t>（通报表扬、表彰）</w:t>
            </w:r>
          </w:p>
        </w:tc>
        <w:tc>
          <w:tcPr>
            <w:tcW w:w="3260" w:type="dxa"/>
            <w:vAlign w:val="center"/>
          </w:tcPr>
          <w:p>
            <w:pPr>
              <w:jc w:val="center"/>
              <w:rPr>
                <w:rFonts w:ascii="宋体" w:hAnsi="宋体"/>
                <w:szCs w:val="21"/>
              </w:rPr>
            </w:pPr>
            <w:r>
              <w:rPr>
                <w:rFonts w:hint="eastAsia" w:ascii="宋体" w:hAnsi="宋体"/>
                <w:szCs w:val="21"/>
              </w:rPr>
              <w:t>国务院</w:t>
            </w:r>
          </w:p>
        </w:tc>
        <w:tc>
          <w:tcPr>
            <w:tcW w:w="1920" w:type="dxa"/>
            <w:vAlign w:val="center"/>
          </w:tcPr>
          <w:p>
            <w:pPr>
              <w:jc w:val="center"/>
              <w:rPr>
                <w:rFonts w:ascii="宋体" w:hAnsi="宋体"/>
                <w:szCs w:val="21"/>
              </w:rPr>
            </w:pPr>
            <w:r>
              <w:rPr>
                <w:rFonts w:ascii="宋体" w:hAnsi="宋体"/>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vAlign w:val="center"/>
          </w:tcPr>
          <w:p>
            <w:pPr>
              <w:jc w:val="center"/>
              <w:rPr>
                <w:rFonts w:ascii="宋体" w:hAnsi="宋体"/>
                <w:szCs w:val="21"/>
              </w:rPr>
            </w:pPr>
            <w:r>
              <w:rPr>
                <w:rFonts w:ascii="宋体" w:hAnsi="宋体"/>
                <w:szCs w:val="21"/>
              </w:rPr>
              <w:t>2</w:t>
            </w:r>
          </w:p>
        </w:tc>
        <w:tc>
          <w:tcPr>
            <w:tcW w:w="2977" w:type="dxa"/>
            <w:vAlign w:val="center"/>
          </w:tcPr>
          <w:p>
            <w:pPr>
              <w:jc w:val="center"/>
              <w:rPr>
                <w:rFonts w:ascii="宋体" w:hAnsi="宋体"/>
                <w:szCs w:val="21"/>
              </w:rPr>
            </w:pPr>
            <w:r>
              <w:rPr>
                <w:rFonts w:hint="eastAsia" w:ascii="宋体" w:hAnsi="宋体"/>
                <w:szCs w:val="21"/>
              </w:rPr>
              <w:t>国务院部委嘉奖令</w:t>
            </w:r>
          </w:p>
          <w:p>
            <w:pPr>
              <w:jc w:val="center"/>
              <w:rPr>
                <w:rFonts w:ascii="宋体" w:hAnsi="宋体"/>
                <w:szCs w:val="21"/>
              </w:rPr>
            </w:pPr>
            <w:r>
              <w:rPr>
                <w:rFonts w:hint="eastAsia" w:ascii="宋体" w:hAnsi="宋体"/>
                <w:szCs w:val="21"/>
              </w:rPr>
              <w:t>（通报表扬、表彰）</w:t>
            </w:r>
          </w:p>
        </w:tc>
        <w:tc>
          <w:tcPr>
            <w:tcW w:w="3260" w:type="dxa"/>
            <w:vAlign w:val="center"/>
          </w:tcPr>
          <w:p>
            <w:pPr>
              <w:jc w:val="center"/>
              <w:rPr>
                <w:rFonts w:ascii="宋体" w:hAnsi="宋体"/>
                <w:szCs w:val="21"/>
              </w:rPr>
            </w:pPr>
            <w:r>
              <w:rPr>
                <w:rFonts w:hint="eastAsia" w:ascii="宋体" w:hAnsi="宋体"/>
                <w:szCs w:val="21"/>
              </w:rPr>
              <w:t>国务院部委</w:t>
            </w:r>
          </w:p>
        </w:tc>
        <w:tc>
          <w:tcPr>
            <w:tcW w:w="1920" w:type="dxa"/>
            <w:vAlign w:val="center"/>
          </w:tcPr>
          <w:p>
            <w:pPr>
              <w:jc w:val="center"/>
              <w:rPr>
                <w:rFonts w:ascii="宋体" w:hAnsi="宋体"/>
                <w:szCs w:val="21"/>
              </w:rPr>
            </w:pPr>
            <w:r>
              <w:rPr>
                <w:rFonts w:ascii="宋体" w:hAnsi="宋体"/>
                <w:szCs w:val="21"/>
              </w:rPr>
              <w:t>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vAlign w:val="center"/>
          </w:tcPr>
          <w:p>
            <w:pPr>
              <w:jc w:val="center"/>
              <w:rPr>
                <w:rFonts w:ascii="宋体" w:hAnsi="宋体"/>
                <w:szCs w:val="21"/>
              </w:rPr>
            </w:pPr>
            <w:r>
              <w:rPr>
                <w:rFonts w:ascii="宋体" w:hAnsi="宋体"/>
                <w:szCs w:val="21"/>
              </w:rPr>
              <w:t>3</w:t>
            </w:r>
          </w:p>
        </w:tc>
        <w:tc>
          <w:tcPr>
            <w:tcW w:w="2977" w:type="dxa"/>
            <w:vAlign w:val="center"/>
          </w:tcPr>
          <w:p>
            <w:pPr>
              <w:jc w:val="center"/>
              <w:rPr>
                <w:rFonts w:ascii="宋体" w:hAnsi="宋体"/>
                <w:szCs w:val="21"/>
              </w:rPr>
            </w:pPr>
            <w:r>
              <w:rPr>
                <w:rFonts w:hint="eastAsia" w:ascii="宋体" w:hAnsi="宋体"/>
                <w:szCs w:val="21"/>
              </w:rPr>
              <w:t>省政府嘉奖令</w:t>
            </w:r>
          </w:p>
          <w:p>
            <w:pPr>
              <w:jc w:val="center"/>
              <w:rPr>
                <w:rFonts w:ascii="宋体" w:hAnsi="宋体"/>
                <w:szCs w:val="21"/>
              </w:rPr>
            </w:pPr>
            <w:r>
              <w:rPr>
                <w:rFonts w:hint="eastAsia" w:ascii="宋体" w:hAnsi="宋体"/>
                <w:szCs w:val="21"/>
              </w:rPr>
              <w:t>（通报表扬、表彰）</w:t>
            </w:r>
          </w:p>
        </w:tc>
        <w:tc>
          <w:tcPr>
            <w:tcW w:w="3260" w:type="dxa"/>
            <w:vAlign w:val="center"/>
          </w:tcPr>
          <w:p>
            <w:pPr>
              <w:jc w:val="center"/>
              <w:rPr>
                <w:rFonts w:ascii="宋体" w:hAnsi="宋体"/>
                <w:szCs w:val="21"/>
              </w:rPr>
            </w:pPr>
            <w:r>
              <w:rPr>
                <w:rFonts w:hint="eastAsia" w:ascii="宋体" w:hAnsi="宋体"/>
                <w:szCs w:val="21"/>
              </w:rPr>
              <w:t>广东省人民政府</w:t>
            </w:r>
          </w:p>
        </w:tc>
        <w:tc>
          <w:tcPr>
            <w:tcW w:w="1920" w:type="dxa"/>
            <w:vAlign w:val="center"/>
          </w:tcPr>
          <w:p>
            <w:pPr>
              <w:jc w:val="center"/>
              <w:rPr>
                <w:rFonts w:ascii="宋体" w:hAnsi="宋体"/>
                <w:szCs w:val="21"/>
              </w:rPr>
            </w:pPr>
            <w:r>
              <w:rPr>
                <w:rFonts w:ascii="宋体" w:hAnsi="宋体"/>
                <w:szCs w:val="21"/>
              </w:rPr>
              <w:t>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vAlign w:val="center"/>
          </w:tcPr>
          <w:p>
            <w:pPr>
              <w:jc w:val="center"/>
              <w:rPr>
                <w:rFonts w:ascii="宋体" w:hAnsi="宋体"/>
                <w:szCs w:val="21"/>
              </w:rPr>
            </w:pPr>
            <w:r>
              <w:rPr>
                <w:rFonts w:ascii="宋体" w:hAnsi="宋体"/>
                <w:szCs w:val="21"/>
              </w:rPr>
              <w:t>4</w:t>
            </w:r>
          </w:p>
        </w:tc>
        <w:tc>
          <w:tcPr>
            <w:tcW w:w="2977" w:type="dxa"/>
            <w:vAlign w:val="center"/>
          </w:tcPr>
          <w:p>
            <w:pPr>
              <w:jc w:val="center"/>
              <w:rPr>
                <w:rFonts w:ascii="宋体" w:hAnsi="宋体"/>
                <w:szCs w:val="21"/>
              </w:rPr>
            </w:pPr>
            <w:r>
              <w:rPr>
                <w:rFonts w:hint="eastAsia" w:ascii="宋体" w:hAnsi="宋体"/>
                <w:szCs w:val="21"/>
              </w:rPr>
              <w:t>市政府嘉奖令</w:t>
            </w:r>
          </w:p>
          <w:p>
            <w:pPr>
              <w:jc w:val="center"/>
              <w:rPr>
                <w:rFonts w:ascii="宋体" w:hAnsi="宋体"/>
                <w:szCs w:val="21"/>
              </w:rPr>
            </w:pPr>
            <w:r>
              <w:rPr>
                <w:rFonts w:hint="eastAsia" w:ascii="宋体" w:hAnsi="宋体"/>
                <w:szCs w:val="21"/>
              </w:rPr>
              <w:t>（通报表扬、表彰）</w:t>
            </w:r>
          </w:p>
        </w:tc>
        <w:tc>
          <w:tcPr>
            <w:tcW w:w="3260" w:type="dxa"/>
            <w:vAlign w:val="center"/>
          </w:tcPr>
          <w:p>
            <w:pPr>
              <w:jc w:val="center"/>
              <w:rPr>
                <w:rFonts w:ascii="宋体" w:hAnsi="宋体"/>
                <w:szCs w:val="21"/>
              </w:rPr>
            </w:pPr>
            <w:r>
              <w:rPr>
                <w:rFonts w:hint="eastAsia" w:ascii="宋体" w:hAnsi="宋体"/>
                <w:szCs w:val="21"/>
              </w:rPr>
              <w:t>深圳市人民政府</w:t>
            </w:r>
          </w:p>
        </w:tc>
        <w:tc>
          <w:tcPr>
            <w:tcW w:w="1920" w:type="dxa"/>
            <w:vAlign w:val="center"/>
          </w:tcPr>
          <w:p>
            <w:pPr>
              <w:jc w:val="center"/>
              <w:rPr>
                <w:rFonts w:ascii="宋体" w:hAnsi="宋体"/>
                <w:szCs w:val="21"/>
              </w:rPr>
            </w:pPr>
            <w:r>
              <w:rPr>
                <w:rFonts w:ascii="宋体" w:hAnsi="宋体"/>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959" w:type="dxa"/>
            <w:vAlign w:val="center"/>
          </w:tcPr>
          <w:p>
            <w:pPr>
              <w:jc w:val="center"/>
              <w:rPr>
                <w:rFonts w:ascii="宋体" w:hAnsi="宋体"/>
                <w:szCs w:val="21"/>
              </w:rPr>
            </w:pPr>
            <w:r>
              <w:rPr>
                <w:rFonts w:ascii="宋体" w:hAnsi="宋体"/>
                <w:szCs w:val="21"/>
              </w:rPr>
              <w:t>5</w:t>
            </w:r>
          </w:p>
        </w:tc>
        <w:tc>
          <w:tcPr>
            <w:tcW w:w="2977" w:type="dxa"/>
            <w:vAlign w:val="center"/>
          </w:tcPr>
          <w:p>
            <w:pPr>
              <w:jc w:val="center"/>
              <w:rPr>
                <w:rFonts w:ascii="宋体" w:hAnsi="宋体"/>
                <w:szCs w:val="21"/>
              </w:rPr>
            </w:pPr>
            <w:r>
              <w:rPr>
                <w:rFonts w:hint="eastAsia" w:ascii="宋体" w:hAnsi="宋体"/>
                <w:szCs w:val="21"/>
              </w:rPr>
              <w:t>区政府嘉奖令</w:t>
            </w:r>
          </w:p>
          <w:p>
            <w:pPr>
              <w:jc w:val="center"/>
              <w:rPr>
                <w:rFonts w:ascii="宋体" w:hAnsi="宋体"/>
                <w:szCs w:val="21"/>
              </w:rPr>
            </w:pPr>
            <w:r>
              <w:rPr>
                <w:rFonts w:hint="eastAsia" w:ascii="宋体" w:hAnsi="宋体"/>
                <w:szCs w:val="21"/>
              </w:rPr>
              <w:t>（通报表扬、表彰）</w:t>
            </w:r>
          </w:p>
        </w:tc>
        <w:tc>
          <w:tcPr>
            <w:tcW w:w="3260" w:type="dxa"/>
            <w:vAlign w:val="center"/>
          </w:tcPr>
          <w:p>
            <w:pPr>
              <w:jc w:val="center"/>
              <w:rPr>
                <w:rFonts w:ascii="宋体" w:hAnsi="宋体"/>
                <w:szCs w:val="21"/>
              </w:rPr>
            </w:pPr>
            <w:r>
              <w:rPr>
                <w:rFonts w:hint="eastAsia" w:ascii="宋体" w:hAnsi="宋体"/>
                <w:szCs w:val="21"/>
              </w:rPr>
              <w:t>区人民政府（新区管委会、前海管理局、深汕特别合作区管委会）</w:t>
            </w:r>
          </w:p>
        </w:tc>
        <w:tc>
          <w:tcPr>
            <w:tcW w:w="1920" w:type="dxa"/>
            <w:vAlign w:val="center"/>
          </w:tcPr>
          <w:p>
            <w:pPr>
              <w:jc w:val="center"/>
              <w:rPr>
                <w:rFonts w:ascii="宋体" w:hAnsi="宋体"/>
                <w:szCs w:val="21"/>
              </w:rPr>
            </w:pPr>
            <w:r>
              <w:rPr>
                <w:rFonts w:ascii="宋体" w:hAnsi="宋体"/>
                <w:szCs w:val="21"/>
              </w:rPr>
              <w:t>4个月</w:t>
            </w:r>
          </w:p>
        </w:tc>
      </w:tr>
    </w:tbl>
    <w:p>
      <w:pPr>
        <w:rPr>
          <w:rFonts w:ascii="宋体" w:hAnsi="宋体"/>
          <w:sz w:val="36"/>
          <w:szCs w:val="36"/>
        </w:rPr>
        <w:sectPr>
          <w:pgSz w:w="11906" w:h="16838"/>
          <w:pgMar w:top="2268" w:right="1418" w:bottom="2268" w:left="1588" w:header="1418" w:footer="1418" w:gutter="0"/>
          <w:cols w:space="720" w:num="1"/>
          <w:docGrid w:type="lines" w:linePitch="312" w:charSpace="0"/>
        </w:sectPr>
      </w:pPr>
    </w:p>
    <w:p>
      <w:pPr>
        <w:spacing w:line="400" w:lineRule="atLeast"/>
        <w:rPr>
          <w:szCs w:val="36"/>
        </w:rPr>
      </w:pPr>
    </w:p>
    <w:sectPr>
      <w:pgSz w:w="11906" w:h="16838"/>
      <w:pgMar w:top="2268" w:right="1418" w:bottom="2268"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文鼎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6676569"/>
      <w:docPartObj>
        <w:docPartGallery w:val="AutoText"/>
      </w:docPartObj>
    </w:sdtPr>
    <w:sdtContent>
      <w:p>
        <w:pPr>
          <w:pStyle w:val="33"/>
          <w:jc w:val="right"/>
        </w:pPr>
        <w:r>
          <w:fldChar w:fldCharType="begin"/>
        </w:r>
        <w:r>
          <w:instrText xml:space="preserve">PAGE   \* MERGEFORMAT</w:instrText>
        </w:r>
        <w:r>
          <w:fldChar w:fldCharType="separate"/>
        </w:r>
        <w:r>
          <w:rPr>
            <w:lang w:val="zh-CN"/>
          </w:rPr>
          <w:t>9</w:t>
        </w:r>
        <w:r>
          <w:rPr>
            <w:lang w:val="zh-CN"/>
          </w:rPr>
          <w:fldChar w:fldCharType="end"/>
        </w:r>
      </w:p>
    </w:sdtContent>
  </w:sdt>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932463"/>
      <w:docPartObj>
        <w:docPartGallery w:val="AutoText"/>
      </w:docPartObj>
    </w:sdtPr>
    <w:sdtContent>
      <w:p>
        <w:pPr>
          <w:pStyle w:val="33"/>
        </w:pPr>
        <w:r>
          <w:fldChar w:fldCharType="begin"/>
        </w:r>
        <w:r>
          <w:instrText xml:space="preserve">PAGE   \* MERGEFORMAT</w:instrText>
        </w:r>
        <w:r>
          <w:fldChar w:fldCharType="separate"/>
        </w:r>
        <w:r>
          <w:rPr>
            <w:lang w:val="zh-CN"/>
          </w:rPr>
          <w:t>10</w:t>
        </w:r>
        <w:r>
          <w:rPr>
            <w:lang w:val="zh-CN"/>
          </w:rPr>
          <w:fldChar w:fldCharType="end"/>
        </w:r>
      </w:p>
    </w:sdtContent>
  </w:sdt>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outside" w:y="1"/>
      <w:rPr>
        <w:rStyle w:val="59"/>
        <w:rFonts w:ascii="Times New Roman" w:hAnsi="Times New Roman"/>
      </w:rPr>
    </w:pPr>
    <w:r>
      <w:rPr>
        <w:rFonts w:ascii="Times New Roman" w:hAnsi="Times New Roman"/>
      </w:rPr>
      <w:fldChar w:fldCharType="begin"/>
    </w:r>
    <w:r>
      <w:rPr>
        <w:rStyle w:val="59"/>
        <w:rFonts w:ascii="Times New Roman" w:hAnsi="Times New Roman"/>
      </w:rPr>
      <w:instrText xml:space="preserve">PAGE  </w:instrText>
    </w:r>
    <w:r>
      <w:rPr>
        <w:rFonts w:ascii="Times New Roman" w:hAnsi="Times New Roman"/>
      </w:rPr>
      <w:fldChar w:fldCharType="separate"/>
    </w:r>
    <w:r>
      <w:rPr>
        <w:rStyle w:val="59"/>
        <w:rFonts w:ascii="Times New Roman" w:hAnsi="Times New Roman"/>
      </w:rPr>
      <w:t>51</w:t>
    </w:r>
    <w:r>
      <w:rPr>
        <w:rFonts w:ascii="Times New Roman" w:hAnsi="Times New Roman"/>
      </w:rPr>
      <w:fldChar w:fldCharType="end"/>
    </w:r>
  </w:p>
  <w:p>
    <w:pPr>
      <w:pStyle w:val="3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outside" w:y="1"/>
      <w:rPr>
        <w:rStyle w:val="59"/>
      </w:rPr>
    </w:pPr>
    <w:r>
      <w:fldChar w:fldCharType="begin"/>
    </w:r>
    <w:r>
      <w:rPr>
        <w:rStyle w:val="59"/>
      </w:rPr>
      <w:instrText xml:space="preserve">PAGE  </w:instrText>
    </w:r>
    <w:r>
      <w:fldChar w:fldCharType="separate"/>
    </w:r>
    <w:r>
      <w:rPr>
        <w:rStyle w:val="59"/>
      </w:rPr>
      <w:t>52</w:t>
    </w:r>
    <w:r>
      <w:fldChar w:fldCharType="end"/>
    </w:r>
  </w:p>
  <w:p>
    <w:pPr>
      <w:pStyle w:val="3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103730BC"/>
    <w:multiLevelType w:val="multilevel"/>
    <w:tmpl w:val="103730BC"/>
    <w:lvl w:ilvl="0" w:tentative="0">
      <w:start w:val="1"/>
      <w:numFmt w:val="chineseCountingThousand"/>
      <w:pStyle w:val="249"/>
      <w:lvlText w:val="第%1条"/>
      <w:lvlJc w:val="left"/>
      <w:pPr>
        <w:ind w:left="600" w:hanging="420"/>
      </w:pPr>
      <w:rPr>
        <w:rFonts w:hint="eastAsia"/>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953967"/>
    <w:multiLevelType w:val="multilevel"/>
    <w:tmpl w:val="11953967"/>
    <w:lvl w:ilvl="0" w:tentative="0">
      <w:start w:val="1"/>
      <w:numFmt w:val="decimal"/>
      <w:pStyle w:val="495"/>
      <w:lvlText w:val="第%1条"/>
      <w:lvlJc w:val="left"/>
      <w:pPr>
        <w:tabs>
          <w:tab w:val="left" w:pos="1561"/>
        </w:tabs>
        <w:ind w:left="1561" w:hanging="1021"/>
      </w:pPr>
      <w:rPr>
        <w:rFonts w:hint="default" w:ascii="Times New Roman" w:hAnsi="Times New Roman" w:eastAsia="宋体" w:cs="Times New Roman"/>
        <w:b/>
        <w:i w:val="0"/>
        <w:outline w:val="0"/>
        <w:shadow w:val="0"/>
        <w:emboss w:val="0"/>
        <w:imprint w:val="0"/>
        <w:color w:val="000000"/>
        <w:sz w:val="24"/>
        <w:szCs w:val="24"/>
        <w:u w:val="none"/>
        <w:lang w:val="en-US"/>
      </w:rPr>
    </w:lvl>
    <w:lvl w:ilvl="1" w:tentative="0">
      <w:start w:val="1"/>
      <w:numFmt w:val="decimal"/>
      <w:lvlText w:val="%2．"/>
      <w:lvlJc w:val="left"/>
      <w:pPr>
        <w:tabs>
          <w:tab w:val="left" w:pos="1620"/>
        </w:tabs>
        <w:ind w:left="1620" w:hanging="360"/>
      </w:pPr>
      <w:rPr>
        <w:rFonts w:hint="eastAsia"/>
      </w:rPr>
    </w:lvl>
    <w:lvl w:ilvl="2" w:tentative="0">
      <w:start w:val="1"/>
      <w:numFmt w:val="decimal"/>
      <w:lvlText w:val="（%3）"/>
      <w:lvlJc w:val="left"/>
      <w:pPr>
        <w:tabs>
          <w:tab w:val="left" w:pos="2400"/>
        </w:tabs>
        <w:ind w:left="2400" w:hanging="720"/>
      </w:pPr>
      <w:rPr>
        <w:rFonts w:hint="eastAsia"/>
        <w:lang w:val="en-US"/>
      </w:rPr>
    </w:lvl>
    <w:lvl w:ilvl="3" w:tentative="0">
      <w:start w:val="1"/>
      <w:numFmt w:val="decimal"/>
      <w:lvlText w:val="(%4)"/>
      <w:lvlJc w:val="left"/>
      <w:pPr>
        <w:tabs>
          <w:tab w:val="left" w:pos="2460"/>
        </w:tabs>
        <w:ind w:left="2460" w:hanging="360"/>
      </w:pPr>
      <w:rPr>
        <w:rFonts w:hint="eastAsia"/>
      </w:rPr>
    </w:lvl>
    <w:lvl w:ilvl="4" w:tentative="0">
      <w:start w:val="1"/>
      <w:numFmt w:val="decimal"/>
      <w:lvlText w:val="%5、"/>
      <w:lvlJc w:val="left"/>
      <w:pPr>
        <w:tabs>
          <w:tab w:val="left" w:pos="2880"/>
        </w:tabs>
        <w:ind w:left="2880" w:hanging="360"/>
      </w:pPr>
      <w:rPr>
        <w:rFonts w:hint="eastAsia"/>
      </w:r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127308D6"/>
    <w:multiLevelType w:val="multilevel"/>
    <w:tmpl w:val="127308D6"/>
    <w:lvl w:ilvl="0" w:tentative="0">
      <w:start w:val="1"/>
      <w:numFmt w:val="decimal"/>
      <w:lvlText w:val="%1."/>
      <w:lvlJc w:val="left"/>
      <w:pPr>
        <w:ind w:left="378" w:hanging="420"/>
      </w:pPr>
    </w:lvl>
    <w:lvl w:ilvl="1" w:tentative="0">
      <w:start w:val="1"/>
      <w:numFmt w:val="lowerLetter"/>
      <w:lvlText w:val="%2)"/>
      <w:lvlJc w:val="left"/>
      <w:pPr>
        <w:ind w:left="798" w:hanging="420"/>
      </w:pPr>
    </w:lvl>
    <w:lvl w:ilvl="2" w:tentative="0">
      <w:start w:val="1"/>
      <w:numFmt w:val="lowerRoman"/>
      <w:lvlText w:val="%3."/>
      <w:lvlJc w:val="right"/>
      <w:pPr>
        <w:ind w:left="1218" w:hanging="420"/>
      </w:pPr>
    </w:lvl>
    <w:lvl w:ilvl="3" w:tentative="0">
      <w:start w:val="1"/>
      <w:numFmt w:val="decimal"/>
      <w:lvlText w:val="%4."/>
      <w:lvlJc w:val="left"/>
      <w:pPr>
        <w:ind w:left="1638" w:hanging="420"/>
      </w:pPr>
    </w:lvl>
    <w:lvl w:ilvl="4" w:tentative="0">
      <w:start w:val="1"/>
      <w:numFmt w:val="lowerLetter"/>
      <w:lvlText w:val="%5)"/>
      <w:lvlJc w:val="left"/>
      <w:pPr>
        <w:ind w:left="2058" w:hanging="420"/>
      </w:pPr>
    </w:lvl>
    <w:lvl w:ilvl="5" w:tentative="0">
      <w:start w:val="1"/>
      <w:numFmt w:val="lowerRoman"/>
      <w:lvlText w:val="%6."/>
      <w:lvlJc w:val="right"/>
      <w:pPr>
        <w:ind w:left="2478" w:hanging="420"/>
      </w:pPr>
    </w:lvl>
    <w:lvl w:ilvl="6" w:tentative="0">
      <w:start w:val="1"/>
      <w:numFmt w:val="decimal"/>
      <w:lvlText w:val="%7."/>
      <w:lvlJc w:val="left"/>
      <w:pPr>
        <w:ind w:left="2898" w:hanging="420"/>
      </w:pPr>
    </w:lvl>
    <w:lvl w:ilvl="7" w:tentative="0">
      <w:start w:val="1"/>
      <w:numFmt w:val="lowerLetter"/>
      <w:lvlText w:val="%8)"/>
      <w:lvlJc w:val="left"/>
      <w:pPr>
        <w:ind w:left="3318" w:hanging="420"/>
      </w:pPr>
    </w:lvl>
    <w:lvl w:ilvl="8" w:tentative="0">
      <w:start w:val="1"/>
      <w:numFmt w:val="lowerRoman"/>
      <w:lvlText w:val="%9."/>
      <w:lvlJc w:val="right"/>
      <w:pPr>
        <w:ind w:left="3738" w:hanging="420"/>
      </w:pPr>
    </w:lvl>
  </w:abstractNum>
  <w:abstractNum w:abstractNumId="4">
    <w:nsid w:val="758B169A"/>
    <w:multiLevelType w:val="multilevel"/>
    <w:tmpl w:val="758B169A"/>
    <w:lvl w:ilvl="0" w:tentative="0">
      <w:start w:val="1"/>
      <w:numFmt w:val="japaneseCounting"/>
      <w:lvlText w:val="第%1条"/>
      <w:lvlJc w:val="left"/>
      <w:pPr>
        <w:tabs>
          <w:tab w:val="left" w:pos="2360"/>
        </w:tabs>
        <w:ind w:left="2360" w:hanging="1080"/>
      </w:pPr>
    </w:lvl>
    <w:lvl w:ilvl="1" w:tentative="0">
      <w:start w:val="1"/>
      <w:numFmt w:val="japaneseCounting"/>
      <w:pStyle w:val="352"/>
      <w:lvlText w:val="第%2条"/>
      <w:lvlJc w:val="left"/>
      <w:pPr>
        <w:tabs>
          <w:tab w:val="left" w:pos="1648"/>
        </w:tabs>
        <w:ind w:left="1648" w:hanging="1080"/>
      </w:pPr>
      <w:rPr>
        <w:b/>
      </w:rPr>
    </w:lvl>
    <w:lvl w:ilvl="2" w:tentative="0">
      <w:start w:val="1"/>
      <w:numFmt w:val="japaneseCounting"/>
      <w:lvlText w:val="(%3)"/>
      <w:lvlJc w:val="left"/>
      <w:pPr>
        <w:tabs>
          <w:tab w:val="left" w:pos="1965"/>
        </w:tabs>
        <w:ind w:left="1965" w:hanging="1125"/>
      </w:pPr>
      <w:rPr>
        <w:rFonts w:hint="default" w:ascii="ˎ̥" w:hAnsi="ˎ̥"/>
        <w:color w:val="00000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21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4145"/>
    <w:rsid w:val="00000248"/>
    <w:rsid w:val="0000064E"/>
    <w:rsid w:val="00000EF4"/>
    <w:rsid w:val="00000EF8"/>
    <w:rsid w:val="0000160A"/>
    <w:rsid w:val="0000264E"/>
    <w:rsid w:val="00002950"/>
    <w:rsid w:val="00003A6D"/>
    <w:rsid w:val="00003EE2"/>
    <w:rsid w:val="000040A1"/>
    <w:rsid w:val="00005220"/>
    <w:rsid w:val="00005EB2"/>
    <w:rsid w:val="00005EE0"/>
    <w:rsid w:val="00005F9E"/>
    <w:rsid w:val="00006B69"/>
    <w:rsid w:val="00007501"/>
    <w:rsid w:val="00010D47"/>
    <w:rsid w:val="000112C0"/>
    <w:rsid w:val="000116C0"/>
    <w:rsid w:val="000117F2"/>
    <w:rsid w:val="00011839"/>
    <w:rsid w:val="00011F3E"/>
    <w:rsid w:val="000123CB"/>
    <w:rsid w:val="000126F7"/>
    <w:rsid w:val="000129AC"/>
    <w:rsid w:val="00013DFB"/>
    <w:rsid w:val="000141B5"/>
    <w:rsid w:val="00014CF7"/>
    <w:rsid w:val="00014D2E"/>
    <w:rsid w:val="0001511F"/>
    <w:rsid w:val="000154C7"/>
    <w:rsid w:val="0001621A"/>
    <w:rsid w:val="00016A04"/>
    <w:rsid w:val="00016C84"/>
    <w:rsid w:val="00016FC6"/>
    <w:rsid w:val="0002024D"/>
    <w:rsid w:val="0002126B"/>
    <w:rsid w:val="00021796"/>
    <w:rsid w:val="00022084"/>
    <w:rsid w:val="00022508"/>
    <w:rsid w:val="000234B7"/>
    <w:rsid w:val="000236F6"/>
    <w:rsid w:val="00023E35"/>
    <w:rsid w:val="00024088"/>
    <w:rsid w:val="000242AF"/>
    <w:rsid w:val="0002559F"/>
    <w:rsid w:val="00025FB5"/>
    <w:rsid w:val="000260BF"/>
    <w:rsid w:val="00026BB8"/>
    <w:rsid w:val="0002744A"/>
    <w:rsid w:val="00027F5B"/>
    <w:rsid w:val="000308A9"/>
    <w:rsid w:val="00030C6B"/>
    <w:rsid w:val="00030D37"/>
    <w:rsid w:val="0003130C"/>
    <w:rsid w:val="00031BCB"/>
    <w:rsid w:val="00032022"/>
    <w:rsid w:val="00032E9A"/>
    <w:rsid w:val="000332E4"/>
    <w:rsid w:val="00033489"/>
    <w:rsid w:val="00033EC6"/>
    <w:rsid w:val="00034049"/>
    <w:rsid w:val="00034121"/>
    <w:rsid w:val="0003419F"/>
    <w:rsid w:val="000342CF"/>
    <w:rsid w:val="0003467A"/>
    <w:rsid w:val="000347F0"/>
    <w:rsid w:val="00034D21"/>
    <w:rsid w:val="00034EAF"/>
    <w:rsid w:val="00035096"/>
    <w:rsid w:val="0003559E"/>
    <w:rsid w:val="000360C1"/>
    <w:rsid w:val="000369EA"/>
    <w:rsid w:val="00036F0E"/>
    <w:rsid w:val="00037431"/>
    <w:rsid w:val="00037B40"/>
    <w:rsid w:val="00037C93"/>
    <w:rsid w:val="000400D0"/>
    <w:rsid w:val="000401F9"/>
    <w:rsid w:val="000405CA"/>
    <w:rsid w:val="000413F0"/>
    <w:rsid w:val="00041775"/>
    <w:rsid w:val="00042F79"/>
    <w:rsid w:val="0004326A"/>
    <w:rsid w:val="000434B6"/>
    <w:rsid w:val="000436ED"/>
    <w:rsid w:val="000437C9"/>
    <w:rsid w:val="00043835"/>
    <w:rsid w:val="00043CEE"/>
    <w:rsid w:val="00043FF6"/>
    <w:rsid w:val="00044134"/>
    <w:rsid w:val="00044531"/>
    <w:rsid w:val="00045080"/>
    <w:rsid w:val="0004529F"/>
    <w:rsid w:val="00045DBF"/>
    <w:rsid w:val="00045F4D"/>
    <w:rsid w:val="000500AD"/>
    <w:rsid w:val="00051679"/>
    <w:rsid w:val="00051AC3"/>
    <w:rsid w:val="00052174"/>
    <w:rsid w:val="00052E47"/>
    <w:rsid w:val="000531E6"/>
    <w:rsid w:val="00053297"/>
    <w:rsid w:val="00053AAD"/>
    <w:rsid w:val="00054F3E"/>
    <w:rsid w:val="0005506C"/>
    <w:rsid w:val="00055868"/>
    <w:rsid w:val="00055B91"/>
    <w:rsid w:val="00056484"/>
    <w:rsid w:val="00056507"/>
    <w:rsid w:val="00056831"/>
    <w:rsid w:val="00060291"/>
    <w:rsid w:val="00061207"/>
    <w:rsid w:val="00061BCF"/>
    <w:rsid w:val="00062287"/>
    <w:rsid w:val="00062671"/>
    <w:rsid w:val="00062810"/>
    <w:rsid w:val="000629C9"/>
    <w:rsid w:val="0006423F"/>
    <w:rsid w:val="000649DC"/>
    <w:rsid w:val="00064DBE"/>
    <w:rsid w:val="00064F65"/>
    <w:rsid w:val="00065A50"/>
    <w:rsid w:val="000662E6"/>
    <w:rsid w:val="000674A6"/>
    <w:rsid w:val="00067948"/>
    <w:rsid w:val="00067B64"/>
    <w:rsid w:val="00067B91"/>
    <w:rsid w:val="00067CAD"/>
    <w:rsid w:val="00070003"/>
    <w:rsid w:val="000702F4"/>
    <w:rsid w:val="00070534"/>
    <w:rsid w:val="00070960"/>
    <w:rsid w:val="00071252"/>
    <w:rsid w:val="000713A4"/>
    <w:rsid w:val="00071F50"/>
    <w:rsid w:val="00071F5B"/>
    <w:rsid w:val="000734C1"/>
    <w:rsid w:val="000737ED"/>
    <w:rsid w:val="00073A31"/>
    <w:rsid w:val="00074675"/>
    <w:rsid w:val="0007496C"/>
    <w:rsid w:val="0007687F"/>
    <w:rsid w:val="000778BE"/>
    <w:rsid w:val="00077C39"/>
    <w:rsid w:val="00077FB2"/>
    <w:rsid w:val="00082309"/>
    <w:rsid w:val="0008378B"/>
    <w:rsid w:val="00084B43"/>
    <w:rsid w:val="000862D9"/>
    <w:rsid w:val="00086778"/>
    <w:rsid w:val="000876A8"/>
    <w:rsid w:val="000905FC"/>
    <w:rsid w:val="0009060F"/>
    <w:rsid w:val="00091F8F"/>
    <w:rsid w:val="0009244C"/>
    <w:rsid w:val="000930DB"/>
    <w:rsid w:val="000934E6"/>
    <w:rsid w:val="00094129"/>
    <w:rsid w:val="000957CF"/>
    <w:rsid w:val="0009663D"/>
    <w:rsid w:val="0009672D"/>
    <w:rsid w:val="000967C0"/>
    <w:rsid w:val="000971EA"/>
    <w:rsid w:val="00097FFB"/>
    <w:rsid w:val="000A0284"/>
    <w:rsid w:val="000A078F"/>
    <w:rsid w:val="000A0A1E"/>
    <w:rsid w:val="000A1219"/>
    <w:rsid w:val="000A12FB"/>
    <w:rsid w:val="000A3F33"/>
    <w:rsid w:val="000A4392"/>
    <w:rsid w:val="000A47DD"/>
    <w:rsid w:val="000A4ECA"/>
    <w:rsid w:val="000A51B8"/>
    <w:rsid w:val="000A56A8"/>
    <w:rsid w:val="000A5DBD"/>
    <w:rsid w:val="000A6D98"/>
    <w:rsid w:val="000A73AA"/>
    <w:rsid w:val="000A7BE4"/>
    <w:rsid w:val="000A7D1E"/>
    <w:rsid w:val="000B0966"/>
    <w:rsid w:val="000B0A58"/>
    <w:rsid w:val="000B1D49"/>
    <w:rsid w:val="000B24C1"/>
    <w:rsid w:val="000B2594"/>
    <w:rsid w:val="000B2EF9"/>
    <w:rsid w:val="000B3CF2"/>
    <w:rsid w:val="000B40D5"/>
    <w:rsid w:val="000B423C"/>
    <w:rsid w:val="000B4381"/>
    <w:rsid w:val="000B4697"/>
    <w:rsid w:val="000B4B0F"/>
    <w:rsid w:val="000B4B45"/>
    <w:rsid w:val="000B5000"/>
    <w:rsid w:val="000B57F1"/>
    <w:rsid w:val="000B6D65"/>
    <w:rsid w:val="000B6DC4"/>
    <w:rsid w:val="000B6F90"/>
    <w:rsid w:val="000B72FA"/>
    <w:rsid w:val="000B784E"/>
    <w:rsid w:val="000B7F58"/>
    <w:rsid w:val="000C00D0"/>
    <w:rsid w:val="000C0248"/>
    <w:rsid w:val="000C089B"/>
    <w:rsid w:val="000C0DD2"/>
    <w:rsid w:val="000C0EC0"/>
    <w:rsid w:val="000C1C51"/>
    <w:rsid w:val="000C1F0C"/>
    <w:rsid w:val="000C298A"/>
    <w:rsid w:val="000C2C52"/>
    <w:rsid w:val="000C3F06"/>
    <w:rsid w:val="000C40C3"/>
    <w:rsid w:val="000C4B44"/>
    <w:rsid w:val="000C5039"/>
    <w:rsid w:val="000C520B"/>
    <w:rsid w:val="000C57C4"/>
    <w:rsid w:val="000C58A9"/>
    <w:rsid w:val="000C5B93"/>
    <w:rsid w:val="000C5F35"/>
    <w:rsid w:val="000C6893"/>
    <w:rsid w:val="000C6A8F"/>
    <w:rsid w:val="000C708F"/>
    <w:rsid w:val="000C73FB"/>
    <w:rsid w:val="000C7A62"/>
    <w:rsid w:val="000D084A"/>
    <w:rsid w:val="000D106E"/>
    <w:rsid w:val="000D2832"/>
    <w:rsid w:val="000D2F28"/>
    <w:rsid w:val="000D37F7"/>
    <w:rsid w:val="000D3F90"/>
    <w:rsid w:val="000D4513"/>
    <w:rsid w:val="000D462F"/>
    <w:rsid w:val="000D4AD7"/>
    <w:rsid w:val="000D4BD9"/>
    <w:rsid w:val="000D4EC1"/>
    <w:rsid w:val="000D5300"/>
    <w:rsid w:val="000D5789"/>
    <w:rsid w:val="000D5AA0"/>
    <w:rsid w:val="000D5FDB"/>
    <w:rsid w:val="000D6E38"/>
    <w:rsid w:val="000D6F81"/>
    <w:rsid w:val="000D709C"/>
    <w:rsid w:val="000D72D1"/>
    <w:rsid w:val="000D7A74"/>
    <w:rsid w:val="000E044A"/>
    <w:rsid w:val="000E05E9"/>
    <w:rsid w:val="000E120E"/>
    <w:rsid w:val="000E1420"/>
    <w:rsid w:val="000E16CF"/>
    <w:rsid w:val="000E18FC"/>
    <w:rsid w:val="000E1C46"/>
    <w:rsid w:val="000E21F9"/>
    <w:rsid w:val="000E2283"/>
    <w:rsid w:val="000E2732"/>
    <w:rsid w:val="000E31FB"/>
    <w:rsid w:val="000E390D"/>
    <w:rsid w:val="000E40BD"/>
    <w:rsid w:val="000E4242"/>
    <w:rsid w:val="000E438F"/>
    <w:rsid w:val="000E4940"/>
    <w:rsid w:val="000E4996"/>
    <w:rsid w:val="000E6036"/>
    <w:rsid w:val="000E6D72"/>
    <w:rsid w:val="000E6FF0"/>
    <w:rsid w:val="000E7A2B"/>
    <w:rsid w:val="000F109E"/>
    <w:rsid w:val="000F11E2"/>
    <w:rsid w:val="000F18F9"/>
    <w:rsid w:val="000F1921"/>
    <w:rsid w:val="000F1E3E"/>
    <w:rsid w:val="000F2AA0"/>
    <w:rsid w:val="000F3726"/>
    <w:rsid w:val="000F39BE"/>
    <w:rsid w:val="000F403E"/>
    <w:rsid w:val="000F6144"/>
    <w:rsid w:val="000F6AFF"/>
    <w:rsid w:val="000F7069"/>
    <w:rsid w:val="000F7A83"/>
    <w:rsid w:val="000F7BCF"/>
    <w:rsid w:val="0010001E"/>
    <w:rsid w:val="0010062C"/>
    <w:rsid w:val="00101134"/>
    <w:rsid w:val="00101AA8"/>
    <w:rsid w:val="00101ADC"/>
    <w:rsid w:val="00102471"/>
    <w:rsid w:val="001035C9"/>
    <w:rsid w:val="00103852"/>
    <w:rsid w:val="00103C60"/>
    <w:rsid w:val="00104B27"/>
    <w:rsid w:val="00104F36"/>
    <w:rsid w:val="0010512B"/>
    <w:rsid w:val="001054EA"/>
    <w:rsid w:val="001064AC"/>
    <w:rsid w:val="00110A78"/>
    <w:rsid w:val="00110B6E"/>
    <w:rsid w:val="00110C22"/>
    <w:rsid w:val="00111124"/>
    <w:rsid w:val="00111507"/>
    <w:rsid w:val="00111649"/>
    <w:rsid w:val="00112036"/>
    <w:rsid w:val="001127C4"/>
    <w:rsid w:val="00112B0D"/>
    <w:rsid w:val="00112C97"/>
    <w:rsid w:val="00112F60"/>
    <w:rsid w:val="001139A8"/>
    <w:rsid w:val="00114EF9"/>
    <w:rsid w:val="001155C1"/>
    <w:rsid w:val="00115A07"/>
    <w:rsid w:val="00115F18"/>
    <w:rsid w:val="0011650E"/>
    <w:rsid w:val="00117F80"/>
    <w:rsid w:val="00120805"/>
    <w:rsid w:val="00120E26"/>
    <w:rsid w:val="001216D9"/>
    <w:rsid w:val="00121CBC"/>
    <w:rsid w:val="00121EED"/>
    <w:rsid w:val="00122767"/>
    <w:rsid w:val="00122DFC"/>
    <w:rsid w:val="001236F0"/>
    <w:rsid w:val="00124358"/>
    <w:rsid w:val="00124F92"/>
    <w:rsid w:val="00125247"/>
    <w:rsid w:val="00125261"/>
    <w:rsid w:val="001255A8"/>
    <w:rsid w:val="00125E06"/>
    <w:rsid w:val="0012641E"/>
    <w:rsid w:val="00126715"/>
    <w:rsid w:val="00126771"/>
    <w:rsid w:val="0012787E"/>
    <w:rsid w:val="00130864"/>
    <w:rsid w:val="0013176A"/>
    <w:rsid w:val="001323B8"/>
    <w:rsid w:val="00132677"/>
    <w:rsid w:val="00133E16"/>
    <w:rsid w:val="001343C8"/>
    <w:rsid w:val="00134C19"/>
    <w:rsid w:val="00135E3B"/>
    <w:rsid w:val="001378C9"/>
    <w:rsid w:val="001403C0"/>
    <w:rsid w:val="00140EE7"/>
    <w:rsid w:val="00141789"/>
    <w:rsid w:val="00141DEC"/>
    <w:rsid w:val="00141E6D"/>
    <w:rsid w:val="00141F89"/>
    <w:rsid w:val="00142343"/>
    <w:rsid w:val="00142A5D"/>
    <w:rsid w:val="00142C36"/>
    <w:rsid w:val="00142E30"/>
    <w:rsid w:val="001432DD"/>
    <w:rsid w:val="001432E1"/>
    <w:rsid w:val="0014370E"/>
    <w:rsid w:val="00143BBF"/>
    <w:rsid w:val="001442C6"/>
    <w:rsid w:val="001448AC"/>
    <w:rsid w:val="001465F5"/>
    <w:rsid w:val="001469FD"/>
    <w:rsid w:val="00146C2E"/>
    <w:rsid w:val="001476BA"/>
    <w:rsid w:val="00147A97"/>
    <w:rsid w:val="001504A4"/>
    <w:rsid w:val="0015057F"/>
    <w:rsid w:val="00151743"/>
    <w:rsid w:val="00151770"/>
    <w:rsid w:val="00151EBC"/>
    <w:rsid w:val="00151FE3"/>
    <w:rsid w:val="00152455"/>
    <w:rsid w:val="00152883"/>
    <w:rsid w:val="001528F4"/>
    <w:rsid w:val="00153737"/>
    <w:rsid w:val="0015389F"/>
    <w:rsid w:val="00153A4B"/>
    <w:rsid w:val="001542BF"/>
    <w:rsid w:val="0015482E"/>
    <w:rsid w:val="00154878"/>
    <w:rsid w:val="0015509D"/>
    <w:rsid w:val="0015512A"/>
    <w:rsid w:val="00155315"/>
    <w:rsid w:val="00155803"/>
    <w:rsid w:val="00155E98"/>
    <w:rsid w:val="001560C5"/>
    <w:rsid w:val="00156242"/>
    <w:rsid w:val="00160025"/>
    <w:rsid w:val="001607CB"/>
    <w:rsid w:val="001608BB"/>
    <w:rsid w:val="001613DE"/>
    <w:rsid w:val="0016167C"/>
    <w:rsid w:val="00161A71"/>
    <w:rsid w:val="00161D3E"/>
    <w:rsid w:val="00161EDA"/>
    <w:rsid w:val="00162539"/>
    <w:rsid w:val="001628AF"/>
    <w:rsid w:val="00163025"/>
    <w:rsid w:val="0016317E"/>
    <w:rsid w:val="001631FD"/>
    <w:rsid w:val="001636CE"/>
    <w:rsid w:val="0016430E"/>
    <w:rsid w:val="00164A5C"/>
    <w:rsid w:val="00164C01"/>
    <w:rsid w:val="00165111"/>
    <w:rsid w:val="001652A8"/>
    <w:rsid w:val="00165E6D"/>
    <w:rsid w:val="00166CBD"/>
    <w:rsid w:val="00166DCB"/>
    <w:rsid w:val="00167F07"/>
    <w:rsid w:val="001703C9"/>
    <w:rsid w:val="00170858"/>
    <w:rsid w:val="0017158D"/>
    <w:rsid w:val="00172891"/>
    <w:rsid w:val="00173721"/>
    <w:rsid w:val="00173AB6"/>
    <w:rsid w:val="00173D03"/>
    <w:rsid w:val="00173D8F"/>
    <w:rsid w:val="00174628"/>
    <w:rsid w:val="00174ED8"/>
    <w:rsid w:val="00175A83"/>
    <w:rsid w:val="00176503"/>
    <w:rsid w:val="00176D8C"/>
    <w:rsid w:val="001807AB"/>
    <w:rsid w:val="00180ACB"/>
    <w:rsid w:val="00180FF4"/>
    <w:rsid w:val="001811B0"/>
    <w:rsid w:val="0018127D"/>
    <w:rsid w:val="00181ADF"/>
    <w:rsid w:val="0018211A"/>
    <w:rsid w:val="0018216D"/>
    <w:rsid w:val="00182CFB"/>
    <w:rsid w:val="00182E1C"/>
    <w:rsid w:val="00183764"/>
    <w:rsid w:val="0018408E"/>
    <w:rsid w:val="00184C66"/>
    <w:rsid w:val="001852CE"/>
    <w:rsid w:val="0018535B"/>
    <w:rsid w:val="00185623"/>
    <w:rsid w:val="00186DB8"/>
    <w:rsid w:val="00187D1D"/>
    <w:rsid w:val="00190FF2"/>
    <w:rsid w:val="00191269"/>
    <w:rsid w:val="00191344"/>
    <w:rsid w:val="0019138A"/>
    <w:rsid w:val="00191578"/>
    <w:rsid w:val="00191D3D"/>
    <w:rsid w:val="00191DC5"/>
    <w:rsid w:val="001933C8"/>
    <w:rsid w:val="001941EB"/>
    <w:rsid w:val="00194563"/>
    <w:rsid w:val="0019456D"/>
    <w:rsid w:val="00195057"/>
    <w:rsid w:val="001955EE"/>
    <w:rsid w:val="001958CB"/>
    <w:rsid w:val="00195E55"/>
    <w:rsid w:val="00196755"/>
    <w:rsid w:val="001A0D20"/>
    <w:rsid w:val="001A31CF"/>
    <w:rsid w:val="001A324A"/>
    <w:rsid w:val="001A325C"/>
    <w:rsid w:val="001A39AC"/>
    <w:rsid w:val="001A5683"/>
    <w:rsid w:val="001A69A2"/>
    <w:rsid w:val="001A6A0B"/>
    <w:rsid w:val="001A6BFA"/>
    <w:rsid w:val="001A7D9E"/>
    <w:rsid w:val="001B09EE"/>
    <w:rsid w:val="001B0E01"/>
    <w:rsid w:val="001B0E28"/>
    <w:rsid w:val="001B107F"/>
    <w:rsid w:val="001B1082"/>
    <w:rsid w:val="001B1150"/>
    <w:rsid w:val="001B158F"/>
    <w:rsid w:val="001B195C"/>
    <w:rsid w:val="001B1B88"/>
    <w:rsid w:val="001B2E9E"/>
    <w:rsid w:val="001B2F4C"/>
    <w:rsid w:val="001B3536"/>
    <w:rsid w:val="001B35A1"/>
    <w:rsid w:val="001B37BA"/>
    <w:rsid w:val="001B3AAD"/>
    <w:rsid w:val="001B3BA5"/>
    <w:rsid w:val="001B3C2C"/>
    <w:rsid w:val="001B3EC4"/>
    <w:rsid w:val="001B3F14"/>
    <w:rsid w:val="001B472E"/>
    <w:rsid w:val="001B4A62"/>
    <w:rsid w:val="001B50DD"/>
    <w:rsid w:val="001B5643"/>
    <w:rsid w:val="001B5676"/>
    <w:rsid w:val="001B78F2"/>
    <w:rsid w:val="001C0016"/>
    <w:rsid w:val="001C05D0"/>
    <w:rsid w:val="001C13FA"/>
    <w:rsid w:val="001C15E6"/>
    <w:rsid w:val="001C193A"/>
    <w:rsid w:val="001C1FB6"/>
    <w:rsid w:val="001C2B7A"/>
    <w:rsid w:val="001C33F2"/>
    <w:rsid w:val="001C39D4"/>
    <w:rsid w:val="001C3A4B"/>
    <w:rsid w:val="001C46FB"/>
    <w:rsid w:val="001C47DB"/>
    <w:rsid w:val="001C47E6"/>
    <w:rsid w:val="001C4E73"/>
    <w:rsid w:val="001C68B7"/>
    <w:rsid w:val="001C68B8"/>
    <w:rsid w:val="001C6EB1"/>
    <w:rsid w:val="001C75FF"/>
    <w:rsid w:val="001C7883"/>
    <w:rsid w:val="001D0702"/>
    <w:rsid w:val="001D07A7"/>
    <w:rsid w:val="001D08FD"/>
    <w:rsid w:val="001D0AB1"/>
    <w:rsid w:val="001D0CF7"/>
    <w:rsid w:val="001D0EA7"/>
    <w:rsid w:val="001D0F33"/>
    <w:rsid w:val="001D1899"/>
    <w:rsid w:val="001D18F9"/>
    <w:rsid w:val="001D2AC8"/>
    <w:rsid w:val="001D2C6C"/>
    <w:rsid w:val="001D3A66"/>
    <w:rsid w:val="001D3BE1"/>
    <w:rsid w:val="001D3D39"/>
    <w:rsid w:val="001D490D"/>
    <w:rsid w:val="001D4A27"/>
    <w:rsid w:val="001D4D18"/>
    <w:rsid w:val="001D4FA4"/>
    <w:rsid w:val="001D514A"/>
    <w:rsid w:val="001D5768"/>
    <w:rsid w:val="001D6C30"/>
    <w:rsid w:val="001E16AA"/>
    <w:rsid w:val="001E1D72"/>
    <w:rsid w:val="001E232E"/>
    <w:rsid w:val="001E2529"/>
    <w:rsid w:val="001E425B"/>
    <w:rsid w:val="001E4DA2"/>
    <w:rsid w:val="001E50ED"/>
    <w:rsid w:val="001E5185"/>
    <w:rsid w:val="001E549C"/>
    <w:rsid w:val="001E54AA"/>
    <w:rsid w:val="001E62A1"/>
    <w:rsid w:val="001E66B5"/>
    <w:rsid w:val="001E691C"/>
    <w:rsid w:val="001E6923"/>
    <w:rsid w:val="001E7DEB"/>
    <w:rsid w:val="001E7F45"/>
    <w:rsid w:val="001F1308"/>
    <w:rsid w:val="001F144D"/>
    <w:rsid w:val="001F1495"/>
    <w:rsid w:val="001F26CD"/>
    <w:rsid w:val="001F3BC4"/>
    <w:rsid w:val="001F493A"/>
    <w:rsid w:val="001F55A7"/>
    <w:rsid w:val="001F5B88"/>
    <w:rsid w:val="001F704D"/>
    <w:rsid w:val="001F7DF1"/>
    <w:rsid w:val="001F7E59"/>
    <w:rsid w:val="00200094"/>
    <w:rsid w:val="00200238"/>
    <w:rsid w:val="00200397"/>
    <w:rsid w:val="00200AFA"/>
    <w:rsid w:val="00201FC1"/>
    <w:rsid w:val="0020204C"/>
    <w:rsid w:val="00202C09"/>
    <w:rsid w:val="00203762"/>
    <w:rsid w:val="00203789"/>
    <w:rsid w:val="00203C4B"/>
    <w:rsid w:val="00203DC4"/>
    <w:rsid w:val="00204107"/>
    <w:rsid w:val="00204908"/>
    <w:rsid w:val="00204ACE"/>
    <w:rsid w:val="00204DF5"/>
    <w:rsid w:val="00204E77"/>
    <w:rsid w:val="00204EAA"/>
    <w:rsid w:val="00204F6D"/>
    <w:rsid w:val="002050C9"/>
    <w:rsid w:val="002057CC"/>
    <w:rsid w:val="002071FF"/>
    <w:rsid w:val="002073DF"/>
    <w:rsid w:val="00207E93"/>
    <w:rsid w:val="00210BC7"/>
    <w:rsid w:val="002111C4"/>
    <w:rsid w:val="00211515"/>
    <w:rsid w:val="00212D52"/>
    <w:rsid w:val="00213135"/>
    <w:rsid w:val="0021381D"/>
    <w:rsid w:val="00213953"/>
    <w:rsid w:val="00213CB3"/>
    <w:rsid w:val="0021445A"/>
    <w:rsid w:val="002144C7"/>
    <w:rsid w:val="00214C75"/>
    <w:rsid w:val="00215447"/>
    <w:rsid w:val="00215B90"/>
    <w:rsid w:val="0021606E"/>
    <w:rsid w:val="002167D1"/>
    <w:rsid w:val="00216C5B"/>
    <w:rsid w:val="002170BB"/>
    <w:rsid w:val="002175DF"/>
    <w:rsid w:val="002176CE"/>
    <w:rsid w:val="00217D5B"/>
    <w:rsid w:val="00220816"/>
    <w:rsid w:val="00220A91"/>
    <w:rsid w:val="00221387"/>
    <w:rsid w:val="00221829"/>
    <w:rsid w:val="0022192B"/>
    <w:rsid w:val="002219EC"/>
    <w:rsid w:val="00221F72"/>
    <w:rsid w:val="00222381"/>
    <w:rsid w:val="00223AD5"/>
    <w:rsid w:val="002243FC"/>
    <w:rsid w:val="00224537"/>
    <w:rsid w:val="0022475A"/>
    <w:rsid w:val="00225042"/>
    <w:rsid w:val="0022513C"/>
    <w:rsid w:val="00225D6D"/>
    <w:rsid w:val="00225F34"/>
    <w:rsid w:val="00225FF2"/>
    <w:rsid w:val="00226009"/>
    <w:rsid w:val="002264A1"/>
    <w:rsid w:val="002269F1"/>
    <w:rsid w:val="00226A00"/>
    <w:rsid w:val="00226CB1"/>
    <w:rsid w:val="002270B7"/>
    <w:rsid w:val="00227775"/>
    <w:rsid w:val="0022786F"/>
    <w:rsid w:val="002278BA"/>
    <w:rsid w:val="00227FF0"/>
    <w:rsid w:val="00230616"/>
    <w:rsid w:val="00231CA1"/>
    <w:rsid w:val="0023243B"/>
    <w:rsid w:val="00233296"/>
    <w:rsid w:val="00233BBA"/>
    <w:rsid w:val="00233F7A"/>
    <w:rsid w:val="002352D3"/>
    <w:rsid w:val="00235AC4"/>
    <w:rsid w:val="00235B64"/>
    <w:rsid w:val="00235D2E"/>
    <w:rsid w:val="00235FFF"/>
    <w:rsid w:val="002361FE"/>
    <w:rsid w:val="00236410"/>
    <w:rsid w:val="00236A47"/>
    <w:rsid w:val="00237070"/>
    <w:rsid w:val="00237264"/>
    <w:rsid w:val="00240A18"/>
    <w:rsid w:val="00240B1F"/>
    <w:rsid w:val="002429B8"/>
    <w:rsid w:val="00242D84"/>
    <w:rsid w:val="00243A47"/>
    <w:rsid w:val="00244080"/>
    <w:rsid w:val="002440C3"/>
    <w:rsid w:val="002459DB"/>
    <w:rsid w:val="00246566"/>
    <w:rsid w:val="0024726C"/>
    <w:rsid w:val="00247505"/>
    <w:rsid w:val="002500CE"/>
    <w:rsid w:val="002500EC"/>
    <w:rsid w:val="00250135"/>
    <w:rsid w:val="002513AA"/>
    <w:rsid w:val="002515E2"/>
    <w:rsid w:val="002516CE"/>
    <w:rsid w:val="00252183"/>
    <w:rsid w:val="00252468"/>
    <w:rsid w:val="0025262C"/>
    <w:rsid w:val="00253B1E"/>
    <w:rsid w:val="002541B9"/>
    <w:rsid w:val="0025500F"/>
    <w:rsid w:val="00255293"/>
    <w:rsid w:val="002557A8"/>
    <w:rsid w:val="0025673B"/>
    <w:rsid w:val="0025679B"/>
    <w:rsid w:val="002569B6"/>
    <w:rsid w:val="00257539"/>
    <w:rsid w:val="00257752"/>
    <w:rsid w:val="00257772"/>
    <w:rsid w:val="00257909"/>
    <w:rsid w:val="00260622"/>
    <w:rsid w:val="002606F2"/>
    <w:rsid w:val="00260B3F"/>
    <w:rsid w:val="002623A6"/>
    <w:rsid w:val="00262405"/>
    <w:rsid w:val="00264058"/>
    <w:rsid w:val="00264162"/>
    <w:rsid w:val="0026537B"/>
    <w:rsid w:val="00265EF9"/>
    <w:rsid w:val="00266F1A"/>
    <w:rsid w:val="00270E5D"/>
    <w:rsid w:val="0027150F"/>
    <w:rsid w:val="002715B5"/>
    <w:rsid w:val="002730CC"/>
    <w:rsid w:val="00273184"/>
    <w:rsid w:val="00273C0F"/>
    <w:rsid w:val="00274A79"/>
    <w:rsid w:val="00274AC6"/>
    <w:rsid w:val="00275992"/>
    <w:rsid w:val="00276E01"/>
    <w:rsid w:val="00280A99"/>
    <w:rsid w:val="0028106C"/>
    <w:rsid w:val="00282658"/>
    <w:rsid w:val="00282726"/>
    <w:rsid w:val="00282FA6"/>
    <w:rsid w:val="0028451B"/>
    <w:rsid w:val="00284845"/>
    <w:rsid w:val="00285979"/>
    <w:rsid w:val="0028649C"/>
    <w:rsid w:val="00286931"/>
    <w:rsid w:val="00287413"/>
    <w:rsid w:val="00287472"/>
    <w:rsid w:val="00287BB0"/>
    <w:rsid w:val="00287DBC"/>
    <w:rsid w:val="002908A3"/>
    <w:rsid w:val="002915D0"/>
    <w:rsid w:val="00291A51"/>
    <w:rsid w:val="00291D61"/>
    <w:rsid w:val="00292325"/>
    <w:rsid w:val="00292800"/>
    <w:rsid w:val="00292920"/>
    <w:rsid w:val="00292AD5"/>
    <w:rsid w:val="002939F0"/>
    <w:rsid w:val="00293D28"/>
    <w:rsid w:val="00293EF4"/>
    <w:rsid w:val="0029472E"/>
    <w:rsid w:val="00294C00"/>
    <w:rsid w:val="0029554C"/>
    <w:rsid w:val="002955C5"/>
    <w:rsid w:val="00295BF7"/>
    <w:rsid w:val="00296526"/>
    <w:rsid w:val="002968DD"/>
    <w:rsid w:val="00296DE4"/>
    <w:rsid w:val="0029762A"/>
    <w:rsid w:val="002A07F7"/>
    <w:rsid w:val="002A210D"/>
    <w:rsid w:val="002A2390"/>
    <w:rsid w:val="002A2957"/>
    <w:rsid w:val="002A2CEA"/>
    <w:rsid w:val="002A37FE"/>
    <w:rsid w:val="002A4072"/>
    <w:rsid w:val="002A4102"/>
    <w:rsid w:val="002A493B"/>
    <w:rsid w:val="002A4941"/>
    <w:rsid w:val="002A4A44"/>
    <w:rsid w:val="002A4BA4"/>
    <w:rsid w:val="002A4FC7"/>
    <w:rsid w:val="002A5020"/>
    <w:rsid w:val="002A55B3"/>
    <w:rsid w:val="002A589E"/>
    <w:rsid w:val="002A5C36"/>
    <w:rsid w:val="002A6020"/>
    <w:rsid w:val="002A6B15"/>
    <w:rsid w:val="002A6D04"/>
    <w:rsid w:val="002A7614"/>
    <w:rsid w:val="002B058F"/>
    <w:rsid w:val="002B0A21"/>
    <w:rsid w:val="002B0A54"/>
    <w:rsid w:val="002B0BF7"/>
    <w:rsid w:val="002B0D16"/>
    <w:rsid w:val="002B1802"/>
    <w:rsid w:val="002B1F1F"/>
    <w:rsid w:val="002B1FB8"/>
    <w:rsid w:val="002B47B8"/>
    <w:rsid w:val="002B4F1E"/>
    <w:rsid w:val="002B617D"/>
    <w:rsid w:val="002B63F2"/>
    <w:rsid w:val="002B6BBB"/>
    <w:rsid w:val="002B6CB4"/>
    <w:rsid w:val="002B7080"/>
    <w:rsid w:val="002B7095"/>
    <w:rsid w:val="002B71F4"/>
    <w:rsid w:val="002B7E5C"/>
    <w:rsid w:val="002C01E5"/>
    <w:rsid w:val="002C0B8C"/>
    <w:rsid w:val="002C11C3"/>
    <w:rsid w:val="002C1D9D"/>
    <w:rsid w:val="002C2104"/>
    <w:rsid w:val="002C2163"/>
    <w:rsid w:val="002C3CEC"/>
    <w:rsid w:val="002C3E6C"/>
    <w:rsid w:val="002C420E"/>
    <w:rsid w:val="002C44A5"/>
    <w:rsid w:val="002C4A16"/>
    <w:rsid w:val="002C4A2D"/>
    <w:rsid w:val="002C4FDD"/>
    <w:rsid w:val="002C5829"/>
    <w:rsid w:val="002C77F5"/>
    <w:rsid w:val="002D0235"/>
    <w:rsid w:val="002D024D"/>
    <w:rsid w:val="002D04E9"/>
    <w:rsid w:val="002D07E8"/>
    <w:rsid w:val="002D1342"/>
    <w:rsid w:val="002D18C9"/>
    <w:rsid w:val="002D1CAC"/>
    <w:rsid w:val="002D212D"/>
    <w:rsid w:val="002D2909"/>
    <w:rsid w:val="002D2D54"/>
    <w:rsid w:val="002D2F37"/>
    <w:rsid w:val="002D3003"/>
    <w:rsid w:val="002D3123"/>
    <w:rsid w:val="002D3C6E"/>
    <w:rsid w:val="002D4485"/>
    <w:rsid w:val="002D4508"/>
    <w:rsid w:val="002D454A"/>
    <w:rsid w:val="002D49A3"/>
    <w:rsid w:val="002D4BC8"/>
    <w:rsid w:val="002D4BE8"/>
    <w:rsid w:val="002D5863"/>
    <w:rsid w:val="002D630D"/>
    <w:rsid w:val="002D643B"/>
    <w:rsid w:val="002D64E9"/>
    <w:rsid w:val="002D6713"/>
    <w:rsid w:val="002D6BEB"/>
    <w:rsid w:val="002D7623"/>
    <w:rsid w:val="002D7FC1"/>
    <w:rsid w:val="002E328E"/>
    <w:rsid w:val="002E3981"/>
    <w:rsid w:val="002E3AAE"/>
    <w:rsid w:val="002E3E17"/>
    <w:rsid w:val="002E431A"/>
    <w:rsid w:val="002E487A"/>
    <w:rsid w:val="002E48C5"/>
    <w:rsid w:val="002E4993"/>
    <w:rsid w:val="002E4DFD"/>
    <w:rsid w:val="002E50EF"/>
    <w:rsid w:val="002E576E"/>
    <w:rsid w:val="002E5A7B"/>
    <w:rsid w:val="002E6F21"/>
    <w:rsid w:val="002E740E"/>
    <w:rsid w:val="002E7F0E"/>
    <w:rsid w:val="002F04BD"/>
    <w:rsid w:val="002F1841"/>
    <w:rsid w:val="002F1AE2"/>
    <w:rsid w:val="002F1BE3"/>
    <w:rsid w:val="002F231A"/>
    <w:rsid w:val="002F3A11"/>
    <w:rsid w:val="002F462A"/>
    <w:rsid w:val="002F516F"/>
    <w:rsid w:val="002F53CE"/>
    <w:rsid w:val="002F5667"/>
    <w:rsid w:val="002F5A51"/>
    <w:rsid w:val="002F6139"/>
    <w:rsid w:val="002F7325"/>
    <w:rsid w:val="002F7360"/>
    <w:rsid w:val="002F761B"/>
    <w:rsid w:val="002F76FB"/>
    <w:rsid w:val="002F7A35"/>
    <w:rsid w:val="002F7FBA"/>
    <w:rsid w:val="003004DC"/>
    <w:rsid w:val="00300B38"/>
    <w:rsid w:val="00300EA5"/>
    <w:rsid w:val="00301210"/>
    <w:rsid w:val="003018D5"/>
    <w:rsid w:val="0030219C"/>
    <w:rsid w:val="00302506"/>
    <w:rsid w:val="00302EDD"/>
    <w:rsid w:val="00303141"/>
    <w:rsid w:val="003035F3"/>
    <w:rsid w:val="0030404E"/>
    <w:rsid w:val="00304E3F"/>
    <w:rsid w:val="00305176"/>
    <w:rsid w:val="00305562"/>
    <w:rsid w:val="0030616E"/>
    <w:rsid w:val="003073F0"/>
    <w:rsid w:val="0030744B"/>
    <w:rsid w:val="003078BA"/>
    <w:rsid w:val="00307994"/>
    <w:rsid w:val="00307EFD"/>
    <w:rsid w:val="0031109A"/>
    <w:rsid w:val="003111C5"/>
    <w:rsid w:val="00311BA0"/>
    <w:rsid w:val="00312722"/>
    <w:rsid w:val="00312B27"/>
    <w:rsid w:val="00312D43"/>
    <w:rsid w:val="00313557"/>
    <w:rsid w:val="00313870"/>
    <w:rsid w:val="00314E88"/>
    <w:rsid w:val="003156D2"/>
    <w:rsid w:val="00315D5D"/>
    <w:rsid w:val="003161C1"/>
    <w:rsid w:val="00316B4A"/>
    <w:rsid w:val="003179EE"/>
    <w:rsid w:val="00317C74"/>
    <w:rsid w:val="00321466"/>
    <w:rsid w:val="00321803"/>
    <w:rsid w:val="00321D6D"/>
    <w:rsid w:val="00321DE8"/>
    <w:rsid w:val="0032268D"/>
    <w:rsid w:val="00322894"/>
    <w:rsid w:val="00322B8A"/>
    <w:rsid w:val="00323939"/>
    <w:rsid w:val="0032454F"/>
    <w:rsid w:val="0032475E"/>
    <w:rsid w:val="00325624"/>
    <w:rsid w:val="003257F8"/>
    <w:rsid w:val="00325F7D"/>
    <w:rsid w:val="003260C2"/>
    <w:rsid w:val="003263A9"/>
    <w:rsid w:val="0032784C"/>
    <w:rsid w:val="003279E2"/>
    <w:rsid w:val="00327B27"/>
    <w:rsid w:val="00330DC7"/>
    <w:rsid w:val="00330F81"/>
    <w:rsid w:val="00331935"/>
    <w:rsid w:val="00331B1B"/>
    <w:rsid w:val="00331BF8"/>
    <w:rsid w:val="00331D95"/>
    <w:rsid w:val="00331DFE"/>
    <w:rsid w:val="003320B1"/>
    <w:rsid w:val="003329DB"/>
    <w:rsid w:val="00332EEA"/>
    <w:rsid w:val="003333F1"/>
    <w:rsid w:val="0033429F"/>
    <w:rsid w:val="0033445B"/>
    <w:rsid w:val="003350B0"/>
    <w:rsid w:val="00335157"/>
    <w:rsid w:val="00337D05"/>
    <w:rsid w:val="0034014B"/>
    <w:rsid w:val="00341281"/>
    <w:rsid w:val="00341698"/>
    <w:rsid w:val="00341A47"/>
    <w:rsid w:val="00342442"/>
    <w:rsid w:val="00342755"/>
    <w:rsid w:val="00342829"/>
    <w:rsid w:val="00342F0D"/>
    <w:rsid w:val="00343384"/>
    <w:rsid w:val="0034353E"/>
    <w:rsid w:val="00343569"/>
    <w:rsid w:val="00343945"/>
    <w:rsid w:val="0034429E"/>
    <w:rsid w:val="00344309"/>
    <w:rsid w:val="0034439F"/>
    <w:rsid w:val="0034545B"/>
    <w:rsid w:val="00345C0D"/>
    <w:rsid w:val="00345CC9"/>
    <w:rsid w:val="00345F16"/>
    <w:rsid w:val="003460CD"/>
    <w:rsid w:val="00346FDB"/>
    <w:rsid w:val="00347634"/>
    <w:rsid w:val="00347C1C"/>
    <w:rsid w:val="00347CBF"/>
    <w:rsid w:val="003506A3"/>
    <w:rsid w:val="00350CE8"/>
    <w:rsid w:val="00350FE9"/>
    <w:rsid w:val="00351018"/>
    <w:rsid w:val="00351035"/>
    <w:rsid w:val="00352FE3"/>
    <w:rsid w:val="0035315E"/>
    <w:rsid w:val="00353559"/>
    <w:rsid w:val="003535C4"/>
    <w:rsid w:val="003535CE"/>
    <w:rsid w:val="00353ED9"/>
    <w:rsid w:val="00354B44"/>
    <w:rsid w:val="003560AA"/>
    <w:rsid w:val="003563F5"/>
    <w:rsid w:val="003568B6"/>
    <w:rsid w:val="00357372"/>
    <w:rsid w:val="00360A16"/>
    <w:rsid w:val="0036225A"/>
    <w:rsid w:val="00362CC6"/>
    <w:rsid w:val="003643EA"/>
    <w:rsid w:val="00364CF9"/>
    <w:rsid w:val="00364EB8"/>
    <w:rsid w:val="00365A66"/>
    <w:rsid w:val="00365A8D"/>
    <w:rsid w:val="00365DA5"/>
    <w:rsid w:val="00366149"/>
    <w:rsid w:val="00366760"/>
    <w:rsid w:val="00366850"/>
    <w:rsid w:val="00366A3A"/>
    <w:rsid w:val="0036772D"/>
    <w:rsid w:val="003679C8"/>
    <w:rsid w:val="00367A9A"/>
    <w:rsid w:val="00370C5C"/>
    <w:rsid w:val="00370D04"/>
    <w:rsid w:val="0037145F"/>
    <w:rsid w:val="00371902"/>
    <w:rsid w:val="0037306F"/>
    <w:rsid w:val="003736DE"/>
    <w:rsid w:val="00373F96"/>
    <w:rsid w:val="003744AF"/>
    <w:rsid w:val="00374612"/>
    <w:rsid w:val="0037535E"/>
    <w:rsid w:val="00377144"/>
    <w:rsid w:val="00377407"/>
    <w:rsid w:val="00377C98"/>
    <w:rsid w:val="0038018F"/>
    <w:rsid w:val="003804E1"/>
    <w:rsid w:val="00380AFE"/>
    <w:rsid w:val="00381F28"/>
    <w:rsid w:val="003822C4"/>
    <w:rsid w:val="00382CFD"/>
    <w:rsid w:val="00382F4A"/>
    <w:rsid w:val="00383CEA"/>
    <w:rsid w:val="00384919"/>
    <w:rsid w:val="00385784"/>
    <w:rsid w:val="003859A8"/>
    <w:rsid w:val="00386519"/>
    <w:rsid w:val="003865B9"/>
    <w:rsid w:val="0038703E"/>
    <w:rsid w:val="00390010"/>
    <w:rsid w:val="00390362"/>
    <w:rsid w:val="00390419"/>
    <w:rsid w:val="00391349"/>
    <w:rsid w:val="00391376"/>
    <w:rsid w:val="003913F0"/>
    <w:rsid w:val="003915D2"/>
    <w:rsid w:val="00391AC0"/>
    <w:rsid w:val="00391C3C"/>
    <w:rsid w:val="00391C6E"/>
    <w:rsid w:val="00391EF1"/>
    <w:rsid w:val="00392198"/>
    <w:rsid w:val="003922F6"/>
    <w:rsid w:val="0039258B"/>
    <w:rsid w:val="00392728"/>
    <w:rsid w:val="0039274C"/>
    <w:rsid w:val="003931DB"/>
    <w:rsid w:val="003932F0"/>
    <w:rsid w:val="00393303"/>
    <w:rsid w:val="00393A76"/>
    <w:rsid w:val="00393C25"/>
    <w:rsid w:val="003946CF"/>
    <w:rsid w:val="00394F51"/>
    <w:rsid w:val="003957E3"/>
    <w:rsid w:val="0039647C"/>
    <w:rsid w:val="00396772"/>
    <w:rsid w:val="00396A75"/>
    <w:rsid w:val="003A0C78"/>
    <w:rsid w:val="003A109C"/>
    <w:rsid w:val="003A1EF9"/>
    <w:rsid w:val="003A2091"/>
    <w:rsid w:val="003A2F5E"/>
    <w:rsid w:val="003A35B4"/>
    <w:rsid w:val="003A3E4D"/>
    <w:rsid w:val="003A41E3"/>
    <w:rsid w:val="003A494C"/>
    <w:rsid w:val="003A4A73"/>
    <w:rsid w:val="003A544E"/>
    <w:rsid w:val="003A56F6"/>
    <w:rsid w:val="003A63CB"/>
    <w:rsid w:val="003A6A1B"/>
    <w:rsid w:val="003A6A72"/>
    <w:rsid w:val="003A6E4B"/>
    <w:rsid w:val="003A76D7"/>
    <w:rsid w:val="003B0457"/>
    <w:rsid w:val="003B083B"/>
    <w:rsid w:val="003B0848"/>
    <w:rsid w:val="003B0B9C"/>
    <w:rsid w:val="003B1439"/>
    <w:rsid w:val="003B16B6"/>
    <w:rsid w:val="003B1969"/>
    <w:rsid w:val="003B1B9A"/>
    <w:rsid w:val="003B1D6D"/>
    <w:rsid w:val="003B1FA1"/>
    <w:rsid w:val="003B23C9"/>
    <w:rsid w:val="003B323B"/>
    <w:rsid w:val="003B4617"/>
    <w:rsid w:val="003B48CD"/>
    <w:rsid w:val="003B4C25"/>
    <w:rsid w:val="003B5143"/>
    <w:rsid w:val="003B5410"/>
    <w:rsid w:val="003B570B"/>
    <w:rsid w:val="003B67DE"/>
    <w:rsid w:val="003B6998"/>
    <w:rsid w:val="003B6C72"/>
    <w:rsid w:val="003B7C72"/>
    <w:rsid w:val="003C002E"/>
    <w:rsid w:val="003C0D8D"/>
    <w:rsid w:val="003C3107"/>
    <w:rsid w:val="003C3259"/>
    <w:rsid w:val="003C32E6"/>
    <w:rsid w:val="003C38F2"/>
    <w:rsid w:val="003C5295"/>
    <w:rsid w:val="003C6F55"/>
    <w:rsid w:val="003C75C6"/>
    <w:rsid w:val="003C7CB1"/>
    <w:rsid w:val="003D0065"/>
    <w:rsid w:val="003D051E"/>
    <w:rsid w:val="003D0A3F"/>
    <w:rsid w:val="003D114D"/>
    <w:rsid w:val="003D1D86"/>
    <w:rsid w:val="003D2F67"/>
    <w:rsid w:val="003D34FE"/>
    <w:rsid w:val="003D39D5"/>
    <w:rsid w:val="003D4991"/>
    <w:rsid w:val="003D4FC3"/>
    <w:rsid w:val="003D59C4"/>
    <w:rsid w:val="003D6530"/>
    <w:rsid w:val="003D6C04"/>
    <w:rsid w:val="003D76DD"/>
    <w:rsid w:val="003D7BAE"/>
    <w:rsid w:val="003E066F"/>
    <w:rsid w:val="003E0D16"/>
    <w:rsid w:val="003E10D2"/>
    <w:rsid w:val="003E12A0"/>
    <w:rsid w:val="003E1436"/>
    <w:rsid w:val="003E1A68"/>
    <w:rsid w:val="003E1D6F"/>
    <w:rsid w:val="003E2010"/>
    <w:rsid w:val="003E2024"/>
    <w:rsid w:val="003E32C6"/>
    <w:rsid w:val="003E3331"/>
    <w:rsid w:val="003E353E"/>
    <w:rsid w:val="003E69BB"/>
    <w:rsid w:val="003E6B38"/>
    <w:rsid w:val="003E6E21"/>
    <w:rsid w:val="003F006C"/>
    <w:rsid w:val="003F04B7"/>
    <w:rsid w:val="003F08DE"/>
    <w:rsid w:val="003F0CA2"/>
    <w:rsid w:val="003F1908"/>
    <w:rsid w:val="003F1EE1"/>
    <w:rsid w:val="003F20DE"/>
    <w:rsid w:val="003F2835"/>
    <w:rsid w:val="003F30A2"/>
    <w:rsid w:val="003F3127"/>
    <w:rsid w:val="003F3C2D"/>
    <w:rsid w:val="003F3CF5"/>
    <w:rsid w:val="003F3E4B"/>
    <w:rsid w:val="003F437B"/>
    <w:rsid w:val="003F444B"/>
    <w:rsid w:val="003F5D3A"/>
    <w:rsid w:val="003F6500"/>
    <w:rsid w:val="003F65EC"/>
    <w:rsid w:val="003F6F5E"/>
    <w:rsid w:val="003F7313"/>
    <w:rsid w:val="003F7421"/>
    <w:rsid w:val="003F7F9D"/>
    <w:rsid w:val="0040097D"/>
    <w:rsid w:val="00400E52"/>
    <w:rsid w:val="00400F17"/>
    <w:rsid w:val="004011A3"/>
    <w:rsid w:val="0040131F"/>
    <w:rsid w:val="004014D0"/>
    <w:rsid w:val="00401662"/>
    <w:rsid w:val="00401CE4"/>
    <w:rsid w:val="00401E63"/>
    <w:rsid w:val="00404CD8"/>
    <w:rsid w:val="00404F18"/>
    <w:rsid w:val="0040524A"/>
    <w:rsid w:val="00405608"/>
    <w:rsid w:val="00405AEB"/>
    <w:rsid w:val="004061DF"/>
    <w:rsid w:val="00406608"/>
    <w:rsid w:val="00406AFA"/>
    <w:rsid w:val="00406B73"/>
    <w:rsid w:val="00406C14"/>
    <w:rsid w:val="004100EE"/>
    <w:rsid w:val="0041018F"/>
    <w:rsid w:val="004111F6"/>
    <w:rsid w:val="004112BE"/>
    <w:rsid w:val="0041273E"/>
    <w:rsid w:val="00412A89"/>
    <w:rsid w:val="00413250"/>
    <w:rsid w:val="004141D1"/>
    <w:rsid w:val="00414203"/>
    <w:rsid w:val="00414628"/>
    <w:rsid w:val="004147BD"/>
    <w:rsid w:val="00414A07"/>
    <w:rsid w:val="00416F97"/>
    <w:rsid w:val="00417FFA"/>
    <w:rsid w:val="0042075A"/>
    <w:rsid w:val="0042097A"/>
    <w:rsid w:val="00421238"/>
    <w:rsid w:val="0042141F"/>
    <w:rsid w:val="0042155A"/>
    <w:rsid w:val="004218D8"/>
    <w:rsid w:val="00421A75"/>
    <w:rsid w:val="00422265"/>
    <w:rsid w:val="004231D3"/>
    <w:rsid w:val="0042412B"/>
    <w:rsid w:val="004257FD"/>
    <w:rsid w:val="00425995"/>
    <w:rsid w:val="00425DA8"/>
    <w:rsid w:val="004262B0"/>
    <w:rsid w:val="00426498"/>
    <w:rsid w:val="00426DAA"/>
    <w:rsid w:val="00430466"/>
    <w:rsid w:val="00431047"/>
    <w:rsid w:val="0043139C"/>
    <w:rsid w:val="00431779"/>
    <w:rsid w:val="0043221D"/>
    <w:rsid w:val="0043333C"/>
    <w:rsid w:val="00434347"/>
    <w:rsid w:val="00434B02"/>
    <w:rsid w:val="00434C7E"/>
    <w:rsid w:val="004352E0"/>
    <w:rsid w:val="004357B7"/>
    <w:rsid w:val="0043581A"/>
    <w:rsid w:val="004359C7"/>
    <w:rsid w:val="00435E28"/>
    <w:rsid w:val="00436E2D"/>
    <w:rsid w:val="0043701A"/>
    <w:rsid w:val="004377B4"/>
    <w:rsid w:val="00437C3D"/>
    <w:rsid w:val="00437E33"/>
    <w:rsid w:val="004406E0"/>
    <w:rsid w:val="00440742"/>
    <w:rsid w:val="0044099B"/>
    <w:rsid w:val="004409BC"/>
    <w:rsid w:val="00442234"/>
    <w:rsid w:val="00442F55"/>
    <w:rsid w:val="0044307C"/>
    <w:rsid w:val="004440C4"/>
    <w:rsid w:val="00445AC7"/>
    <w:rsid w:val="004460E3"/>
    <w:rsid w:val="0044628C"/>
    <w:rsid w:val="004463DF"/>
    <w:rsid w:val="0044660E"/>
    <w:rsid w:val="00446F74"/>
    <w:rsid w:val="00447038"/>
    <w:rsid w:val="004477DB"/>
    <w:rsid w:val="0044797F"/>
    <w:rsid w:val="004509E3"/>
    <w:rsid w:val="0045131B"/>
    <w:rsid w:val="00451EA5"/>
    <w:rsid w:val="00451F18"/>
    <w:rsid w:val="004524D8"/>
    <w:rsid w:val="0045269B"/>
    <w:rsid w:val="00452B5B"/>
    <w:rsid w:val="00452BF9"/>
    <w:rsid w:val="004533ED"/>
    <w:rsid w:val="0045373F"/>
    <w:rsid w:val="004537A3"/>
    <w:rsid w:val="00453835"/>
    <w:rsid w:val="0045392C"/>
    <w:rsid w:val="00454C5A"/>
    <w:rsid w:val="00454D9A"/>
    <w:rsid w:val="00455C41"/>
    <w:rsid w:val="00456018"/>
    <w:rsid w:val="0045630F"/>
    <w:rsid w:val="0045639E"/>
    <w:rsid w:val="004570F3"/>
    <w:rsid w:val="004571B9"/>
    <w:rsid w:val="00457471"/>
    <w:rsid w:val="00460456"/>
    <w:rsid w:val="00460EBC"/>
    <w:rsid w:val="00462C4F"/>
    <w:rsid w:val="004633EB"/>
    <w:rsid w:val="00463570"/>
    <w:rsid w:val="00463D61"/>
    <w:rsid w:val="0046502C"/>
    <w:rsid w:val="004650D4"/>
    <w:rsid w:val="004670C2"/>
    <w:rsid w:val="00470036"/>
    <w:rsid w:val="00470718"/>
    <w:rsid w:val="00470C34"/>
    <w:rsid w:val="00470C89"/>
    <w:rsid w:val="00470D0E"/>
    <w:rsid w:val="0047176B"/>
    <w:rsid w:val="00471948"/>
    <w:rsid w:val="00471A8F"/>
    <w:rsid w:val="00471D3D"/>
    <w:rsid w:val="00471E89"/>
    <w:rsid w:val="0047348A"/>
    <w:rsid w:val="00474145"/>
    <w:rsid w:val="00475A68"/>
    <w:rsid w:val="00476DB2"/>
    <w:rsid w:val="004770A8"/>
    <w:rsid w:val="00480A34"/>
    <w:rsid w:val="0048110D"/>
    <w:rsid w:val="0048122F"/>
    <w:rsid w:val="00481363"/>
    <w:rsid w:val="00481772"/>
    <w:rsid w:val="0048192C"/>
    <w:rsid w:val="00482505"/>
    <w:rsid w:val="0048265E"/>
    <w:rsid w:val="0048297A"/>
    <w:rsid w:val="00482C37"/>
    <w:rsid w:val="004840FD"/>
    <w:rsid w:val="004844C9"/>
    <w:rsid w:val="00484F08"/>
    <w:rsid w:val="004855CF"/>
    <w:rsid w:val="0048582D"/>
    <w:rsid w:val="00486597"/>
    <w:rsid w:val="004868D3"/>
    <w:rsid w:val="00486A77"/>
    <w:rsid w:val="00486EB1"/>
    <w:rsid w:val="0048739A"/>
    <w:rsid w:val="00487FAC"/>
    <w:rsid w:val="00490569"/>
    <w:rsid w:val="004908AF"/>
    <w:rsid w:val="00490AA3"/>
    <w:rsid w:val="00490E40"/>
    <w:rsid w:val="0049147B"/>
    <w:rsid w:val="00491483"/>
    <w:rsid w:val="00492D37"/>
    <w:rsid w:val="0049329D"/>
    <w:rsid w:val="0049407D"/>
    <w:rsid w:val="00494105"/>
    <w:rsid w:val="00494C48"/>
    <w:rsid w:val="00496137"/>
    <w:rsid w:val="0049622D"/>
    <w:rsid w:val="00496E5E"/>
    <w:rsid w:val="00497014"/>
    <w:rsid w:val="00497C12"/>
    <w:rsid w:val="004A0933"/>
    <w:rsid w:val="004A0BBB"/>
    <w:rsid w:val="004A1170"/>
    <w:rsid w:val="004A1256"/>
    <w:rsid w:val="004A1BEB"/>
    <w:rsid w:val="004A200E"/>
    <w:rsid w:val="004A2E24"/>
    <w:rsid w:val="004A3742"/>
    <w:rsid w:val="004A37C3"/>
    <w:rsid w:val="004A3B6B"/>
    <w:rsid w:val="004A4633"/>
    <w:rsid w:val="004A4823"/>
    <w:rsid w:val="004A5401"/>
    <w:rsid w:val="004A54B2"/>
    <w:rsid w:val="004A5890"/>
    <w:rsid w:val="004A68EE"/>
    <w:rsid w:val="004A7AF9"/>
    <w:rsid w:val="004A7DD9"/>
    <w:rsid w:val="004A7F91"/>
    <w:rsid w:val="004B07EC"/>
    <w:rsid w:val="004B0E6C"/>
    <w:rsid w:val="004B13F8"/>
    <w:rsid w:val="004B1BDD"/>
    <w:rsid w:val="004B1C9A"/>
    <w:rsid w:val="004B1DAF"/>
    <w:rsid w:val="004B21D7"/>
    <w:rsid w:val="004B39F1"/>
    <w:rsid w:val="004B3C27"/>
    <w:rsid w:val="004B473C"/>
    <w:rsid w:val="004B571D"/>
    <w:rsid w:val="004B5959"/>
    <w:rsid w:val="004B60FF"/>
    <w:rsid w:val="004B6835"/>
    <w:rsid w:val="004B6AAE"/>
    <w:rsid w:val="004B6D2A"/>
    <w:rsid w:val="004B77D1"/>
    <w:rsid w:val="004B7D78"/>
    <w:rsid w:val="004B7E48"/>
    <w:rsid w:val="004B7EF7"/>
    <w:rsid w:val="004C0FB6"/>
    <w:rsid w:val="004C16BE"/>
    <w:rsid w:val="004C3277"/>
    <w:rsid w:val="004C38CB"/>
    <w:rsid w:val="004C3EA8"/>
    <w:rsid w:val="004C479A"/>
    <w:rsid w:val="004C48C9"/>
    <w:rsid w:val="004C4D42"/>
    <w:rsid w:val="004C626F"/>
    <w:rsid w:val="004C6FD0"/>
    <w:rsid w:val="004C7565"/>
    <w:rsid w:val="004C7C45"/>
    <w:rsid w:val="004D1209"/>
    <w:rsid w:val="004D1920"/>
    <w:rsid w:val="004D1B6F"/>
    <w:rsid w:val="004D2001"/>
    <w:rsid w:val="004D2022"/>
    <w:rsid w:val="004D32A5"/>
    <w:rsid w:val="004D39AA"/>
    <w:rsid w:val="004D4B35"/>
    <w:rsid w:val="004D5E78"/>
    <w:rsid w:val="004D6226"/>
    <w:rsid w:val="004D6AE2"/>
    <w:rsid w:val="004D6C54"/>
    <w:rsid w:val="004D6FEB"/>
    <w:rsid w:val="004D7760"/>
    <w:rsid w:val="004D78C0"/>
    <w:rsid w:val="004D7DA0"/>
    <w:rsid w:val="004D7F9A"/>
    <w:rsid w:val="004E0131"/>
    <w:rsid w:val="004E0C87"/>
    <w:rsid w:val="004E1933"/>
    <w:rsid w:val="004E21D1"/>
    <w:rsid w:val="004E28B3"/>
    <w:rsid w:val="004E2C3D"/>
    <w:rsid w:val="004E2EC4"/>
    <w:rsid w:val="004E3C66"/>
    <w:rsid w:val="004E3E34"/>
    <w:rsid w:val="004E42D6"/>
    <w:rsid w:val="004E4BF3"/>
    <w:rsid w:val="004E555C"/>
    <w:rsid w:val="004E6A41"/>
    <w:rsid w:val="004E76C7"/>
    <w:rsid w:val="004E7798"/>
    <w:rsid w:val="004E7B7C"/>
    <w:rsid w:val="004F07D5"/>
    <w:rsid w:val="004F1A7E"/>
    <w:rsid w:val="004F1BC3"/>
    <w:rsid w:val="004F33D1"/>
    <w:rsid w:val="004F371B"/>
    <w:rsid w:val="004F3897"/>
    <w:rsid w:val="004F3976"/>
    <w:rsid w:val="004F3FE3"/>
    <w:rsid w:val="004F4D10"/>
    <w:rsid w:val="004F4F3E"/>
    <w:rsid w:val="004F610C"/>
    <w:rsid w:val="004F73C5"/>
    <w:rsid w:val="004F7DB7"/>
    <w:rsid w:val="00500116"/>
    <w:rsid w:val="005003B3"/>
    <w:rsid w:val="00501A2E"/>
    <w:rsid w:val="00502190"/>
    <w:rsid w:val="0050269D"/>
    <w:rsid w:val="00502F5B"/>
    <w:rsid w:val="00503099"/>
    <w:rsid w:val="005036FE"/>
    <w:rsid w:val="00503E8F"/>
    <w:rsid w:val="005043DF"/>
    <w:rsid w:val="0050444F"/>
    <w:rsid w:val="00504D27"/>
    <w:rsid w:val="00504DC2"/>
    <w:rsid w:val="0050500A"/>
    <w:rsid w:val="005058FA"/>
    <w:rsid w:val="005065D6"/>
    <w:rsid w:val="005068BB"/>
    <w:rsid w:val="005071D2"/>
    <w:rsid w:val="00507E4B"/>
    <w:rsid w:val="00510084"/>
    <w:rsid w:val="0051038F"/>
    <w:rsid w:val="00511468"/>
    <w:rsid w:val="00511EC7"/>
    <w:rsid w:val="00512044"/>
    <w:rsid w:val="0051215F"/>
    <w:rsid w:val="00513C54"/>
    <w:rsid w:val="00514BC9"/>
    <w:rsid w:val="00514F79"/>
    <w:rsid w:val="00516611"/>
    <w:rsid w:val="005169FF"/>
    <w:rsid w:val="00516EAB"/>
    <w:rsid w:val="00517D9E"/>
    <w:rsid w:val="00520FBA"/>
    <w:rsid w:val="005212D5"/>
    <w:rsid w:val="005214A2"/>
    <w:rsid w:val="00521C83"/>
    <w:rsid w:val="00522A26"/>
    <w:rsid w:val="00522D5D"/>
    <w:rsid w:val="00523B94"/>
    <w:rsid w:val="0052432B"/>
    <w:rsid w:val="00524584"/>
    <w:rsid w:val="0052458E"/>
    <w:rsid w:val="00524983"/>
    <w:rsid w:val="00524A93"/>
    <w:rsid w:val="00524E24"/>
    <w:rsid w:val="0052507A"/>
    <w:rsid w:val="005252D5"/>
    <w:rsid w:val="005253D5"/>
    <w:rsid w:val="0052594B"/>
    <w:rsid w:val="005259A7"/>
    <w:rsid w:val="00525E90"/>
    <w:rsid w:val="005260AF"/>
    <w:rsid w:val="00527779"/>
    <w:rsid w:val="0053044E"/>
    <w:rsid w:val="00531130"/>
    <w:rsid w:val="00531459"/>
    <w:rsid w:val="00531A11"/>
    <w:rsid w:val="00532099"/>
    <w:rsid w:val="005324A7"/>
    <w:rsid w:val="005324ED"/>
    <w:rsid w:val="0053283F"/>
    <w:rsid w:val="00533694"/>
    <w:rsid w:val="005339BB"/>
    <w:rsid w:val="00533F32"/>
    <w:rsid w:val="00535416"/>
    <w:rsid w:val="005360F1"/>
    <w:rsid w:val="00537318"/>
    <w:rsid w:val="005377B4"/>
    <w:rsid w:val="00537952"/>
    <w:rsid w:val="00537D3C"/>
    <w:rsid w:val="00540540"/>
    <w:rsid w:val="005405A6"/>
    <w:rsid w:val="005405E1"/>
    <w:rsid w:val="00540B53"/>
    <w:rsid w:val="00541558"/>
    <w:rsid w:val="00541A18"/>
    <w:rsid w:val="00541D41"/>
    <w:rsid w:val="005423F3"/>
    <w:rsid w:val="005424B1"/>
    <w:rsid w:val="00542A09"/>
    <w:rsid w:val="00542CC1"/>
    <w:rsid w:val="00542DCA"/>
    <w:rsid w:val="00542F62"/>
    <w:rsid w:val="00543E9E"/>
    <w:rsid w:val="00543FD3"/>
    <w:rsid w:val="00544561"/>
    <w:rsid w:val="005448B5"/>
    <w:rsid w:val="0054561F"/>
    <w:rsid w:val="005459AD"/>
    <w:rsid w:val="005459BA"/>
    <w:rsid w:val="00545AB5"/>
    <w:rsid w:val="00547737"/>
    <w:rsid w:val="005477DF"/>
    <w:rsid w:val="00547A23"/>
    <w:rsid w:val="00547CCC"/>
    <w:rsid w:val="00550419"/>
    <w:rsid w:val="00550D89"/>
    <w:rsid w:val="00550FD3"/>
    <w:rsid w:val="005512AE"/>
    <w:rsid w:val="0055193C"/>
    <w:rsid w:val="00551CAB"/>
    <w:rsid w:val="00551CFD"/>
    <w:rsid w:val="00553378"/>
    <w:rsid w:val="00553D46"/>
    <w:rsid w:val="00554212"/>
    <w:rsid w:val="00554CD7"/>
    <w:rsid w:val="00555132"/>
    <w:rsid w:val="00555248"/>
    <w:rsid w:val="00556731"/>
    <w:rsid w:val="00556A54"/>
    <w:rsid w:val="005575AC"/>
    <w:rsid w:val="00557B62"/>
    <w:rsid w:val="0056031C"/>
    <w:rsid w:val="005605C7"/>
    <w:rsid w:val="005607A8"/>
    <w:rsid w:val="00560C83"/>
    <w:rsid w:val="00561456"/>
    <w:rsid w:val="00561FA5"/>
    <w:rsid w:val="005621E0"/>
    <w:rsid w:val="00562885"/>
    <w:rsid w:val="005628FD"/>
    <w:rsid w:val="00562B5F"/>
    <w:rsid w:val="005636D0"/>
    <w:rsid w:val="00563E4A"/>
    <w:rsid w:val="00563F02"/>
    <w:rsid w:val="00564C3B"/>
    <w:rsid w:val="00564F53"/>
    <w:rsid w:val="005652EE"/>
    <w:rsid w:val="005654F4"/>
    <w:rsid w:val="00565576"/>
    <w:rsid w:val="005656FC"/>
    <w:rsid w:val="00567051"/>
    <w:rsid w:val="005701D9"/>
    <w:rsid w:val="00570552"/>
    <w:rsid w:val="005707D4"/>
    <w:rsid w:val="00572861"/>
    <w:rsid w:val="00573439"/>
    <w:rsid w:val="00574847"/>
    <w:rsid w:val="00574FFE"/>
    <w:rsid w:val="005755E1"/>
    <w:rsid w:val="00575840"/>
    <w:rsid w:val="00575875"/>
    <w:rsid w:val="00575CE5"/>
    <w:rsid w:val="005760D9"/>
    <w:rsid w:val="005765CE"/>
    <w:rsid w:val="00577591"/>
    <w:rsid w:val="005779E4"/>
    <w:rsid w:val="00577A14"/>
    <w:rsid w:val="00577E26"/>
    <w:rsid w:val="00581CFC"/>
    <w:rsid w:val="00582374"/>
    <w:rsid w:val="00582400"/>
    <w:rsid w:val="00582500"/>
    <w:rsid w:val="005825AC"/>
    <w:rsid w:val="00582A78"/>
    <w:rsid w:val="00582D9E"/>
    <w:rsid w:val="00582ECF"/>
    <w:rsid w:val="005834D0"/>
    <w:rsid w:val="00583776"/>
    <w:rsid w:val="00584254"/>
    <w:rsid w:val="00584441"/>
    <w:rsid w:val="00584978"/>
    <w:rsid w:val="00584BF1"/>
    <w:rsid w:val="00584D4C"/>
    <w:rsid w:val="00584D9A"/>
    <w:rsid w:val="00584FF0"/>
    <w:rsid w:val="005853CC"/>
    <w:rsid w:val="00585CB6"/>
    <w:rsid w:val="005865C9"/>
    <w:rsid w:val="005866B8"/>
    <w:rsid w:val="00587104"/>
    <w:rsid w:val="0059089F"/>
    <w:rsid w:val="00591E53"/>
    <w:rsid w:val="00592CE8"/>
    <w:rsid w:val="00592FF4"/>
    <w:rsid w:val="005931E7"/>
    <w:rsid w:val="005932F4"/>
    <w:rsid w:val="00593713"/>
    <w:rsid w:val="00593A1D"/>
    <w:rsid w:val="005952C1"/>
    <w:rsid w:val="00595C17"/>
    <w:rsid w:val="005973EC"/>
    <w:rsid w:val="00597FA6"/>
    <w:rsid w:val="005A0644"/>
    <w:rsid w:val="005A0A3D"/>
    <w:rsid w:val="005A0DF1"/>
    <w:rsid w:val="005A1EF7"/>
    <w:rsid w:val="005A3A55"/>
    <w:rsid w:val="005A435F"/>
    <w:rsid w:val="005A451E"/>
    <w:rsid w:val="005A48EF"/>
    <w:rsid w:val="005A4EF3"/>
    <w:rsid w:val="005A7231"/>
    <w:rsid w:val="005B34D7"/>
    <w:rsid w:val="005B37B5"/>
    <w:rsid w:val="005B5663"/>
    <w:rsid w:val="005B5FDB"/>
    <w:rsid w:val="005B651F"/>
    <w:rsid w:val="005B6AD3"/>
    <w:rsid w:val="005B6BDC"/>
    <w:rsid w:val="005B6C28"/>
    <w:rsid w:val="005B71FC"/>
    <w:rsid w:val="005B7661"/>
    <w:rsid w:val="005B7754"/>
    <w:rsid w:val="005B7DC4"/>
    <w:rsid w:val="005C05C5"/>
    <w:rsid w:val="005C0B7A"/>
    <w:rsid w:val="005C19D2"/>
    <w:rsid w:val="005C2632"/>
    <w:rsid w:val="005C3393"/>
    <w:rsid w:val="005C34CD"/>
    <w:rsid w:val="005C3C1E"/>
    <w:rsid w:val="005C4406"/>
    <w:rsid w:val="005C467C"/>
    <w:rsid w:val="005C4986"/>
    <w:rsid w:val="005C5ABC"/>
    <w:rsid w:val="005C5B45"/>
    <w:rsid w:val="005C5C72"/>
    <w:rsid w:val="005C5FCC"/>
    <w:rsid w:val="005C7154"/>
    <w:rsid w:val="005C7195"/>
    <w:rsid w:val="005C728B"/>
    <w:rsid w:val="005C745F"/>
    <w:rsid w:val="005C7772"/>
    <w:rsid w:val="005C7C20"/>
    <w:rsid w:val="005D0184"/>
    <w:rsid w:val="005D04EC"/>
    <w:rsid w:val="005D08D2"/>
    <w:rsid w:val="005D14A4"/>
    <w:rsid w:val="005D14DF"/>
    <w:rsid w:val="005D1E8E"/>
    <w:rsid w:val="005D249B"/>
    <w:rsid w:val="005D2DC3"/>
    <w:rsid w:val="005D32D5"/>
    <w:rsid w:val="005D419E"/>
    <w:rsid w:val="005D44DE"/>
    <w:rsid w:val="005D4564"/>
    <w:rsid w:val="005D630B"/>
    <w:rsid w:val="005D63FA"/>
    <w:rsid w:val="005D64DB"/>
    <w:rsid w:val="005D652E"/>
    <w:rsid w:val="005D66FD"/>
    <w:rsid w:val="005D6D3B"/>
    <w:rsid w:val="005D7236"/>
    <w:rsid w:val="005D7F10"/>
    <w:rsid w:val="005E044D"/>
    <w:rsid w:val="005E0595"/>
    <w:rsid w:val="005E0C81"/>
    <w:rsid w:val="005E13D9"/>
    <w:rsid w:val="005E1B0E"/>
    <w:rsid w:val="005E1B2D"/>
    <w:rsid w:val="005E22E9"/>
    <w:rsid w:val="005E2527"/>
    <w:rsid w:val="005E2AA0"/>
    <w:rsid w:val="005E46B7"/>
    <w:rsid w:val="005E4FB5"/>
    <w:rsid w:val="005E5204"/>
    <w:rsid w:val="005E56C3"/>
    <w:rsid w:val="005E5B6E"/>
    <w:rsid w:val="005E78E8"/>
    <w:rsid w:val="005F06D6"/>
    <w:rsid w:val="005F0FC4"/>
    <w:rsid w:val="005F1070"/>
    <w:rsid w:val="005F13B3"/>
    <w:rsid w:val="005F20CA"/>
    <w:rsid w:val="005F2EAA"/>
    <w:rsid w:val="005F374A"/>
    <w:rsid w:val="005F3A4C"/>
    <w:rsid w:val="005F3A5D"/>
    <w:rsid w:val="005F3EFD"/>
    <w:rsid w:val="005F3FBC"/>
    <w:rsid w:val="005F4270"/>
    <w:rsid w:val="005F4BCD"/>
    <w:rsid w:val="005F55F8"/>
    <w:rsid w:val="005F580E"/>
    <w:rsid w:val="005F6E84"/>
    <w:rsid w:val="005F7505"/>
    <w:rsid w:val="005F76D2"/>
    <w:rsid w:val="005F77B2"/>
    <w:rsid w:val="006000C2"/>
    <w:rsid w:val="0060034B"/>
    <w:rsid w:val="00600A39"/>
    <w:rsid w:val="00600E98"/>
    <w:rsid w:val="00601080"/>
    <w:rsid w:val="0060109A"/>
    <w:rsid w:val="00601148"/>
    <w:rsid w:val="00601AC5"/>
    <w:rsid w:val="00601C50"/>
    <w:rsid w:val="00601D8D"/>
    <w:rsid w:val="006021DA"/>
    <w:rsid w:val="006027F1"/>
    <w:rsid w:val="00602C6E"/>
    <w:rsid w:val="00602E3D"/>
    <w:rsid w:val="00603D06"/>
    <w:rsid w:val="006040EE"/>
    <w:rsid w:val="00604466"/>
    <w:rsid w:val="00604FB6"/>
    <w:rsid w:val="006055E2"/>
    <w:rsid w:val="006058BE"/>
    <w:rsid w:val="00605A5E"/>
    <w:rsid w:val="00605B10"/>
    <w:rsid w:val="00606301"/>
    <w:rsid w:val="006064E3"/>
    <w:rsid w:val="0060703C"/>
    <w:rsid w:val="00607688"/>
    <w:rsid w:val="0060788E"/>
    <w:rsid w:val="00607E42"/>
    <w:rsid w:val="0061007D"/>
    <w:rsid w:val="00610F0F"/>
    <w:rsid w:val="0061106D"/>
    <w:rsid w:val="00612376"/>
    <w:rsid w:val="00612C63"/>
    <w:rsid w:val="00612E85"/>
    <w:rsid w:val="00613397"/>
    <w:rsid w:val="00613453"/>
    <w:rsid w:val="0061355F"/>
    <w:rsid w:val="006148F0"/>
    <w:rsid w:val="0061508D"/>
    <w:rsid w:val="006171D3"/>
    <w:rsid w:val="00620B90"/>
    <w:rsid w:val="00621139"/>
    <w:rsid w:val="00621300"/>
    <w:rsid w:val="0062228B"/>
    <w:rsid w:val="00622419"/>
    <w:rsid w:val="006238ED"/>
    <w:rsid w:val="00623E74"/>
    <w:rsid w:val="0062404A"/>
    <w:rsid w:val="006245CD"/>
    <w:rsid w:val="0062585D"/>
    <w:rsid w:val="006264EA"/>
    <w:rsid w:val="00626559"/>
    <w:rsid w:val="00626D07"/>
    <w:rsid w:val="00626ED8"/>
    <w:rsid w:val="00626F5C"/>
    <w:rsid w:val="00627AF6"/>
    <w:rsid w:val="00627DF3"/>
    <w:rsid w:val="00627FAE"/>
    <w:rsid w:val="006303F5"/>
    <w:rsid w:val="00630CBC"/>
    <w:rsid w:val="006311DE"/>
    <w:rsid w:val="00632222"/>
    <w:rsid w:val="0063252B"/>
    <w:rsid w:val="00632FC0"/>
    <w:rsid w:val="00633ADF"/>
    <w:rsid w:val="00633D15"/>
    <w:rsid w:val="006342D4"/>
    <w:rsid w:val="00634567"/>
    <w:rsid w:val="00635754"/>
    <w:rsid w:val="00635951"/>
    <w:rsid w:val="00635D19"/>
    <w:rsid w:val="006360CF"/>
    <w:rsid w:val="0063737B"/>
    <w:rsid w:val="00637CE4"/>
    <w:rsid w:val="006412FD"/>
    <w:rsid w:val="0064154C"/>
    <w:rsid w:val="00641DF4"/>
    <w:rsid w:val="00642E42"/>
    <w:rsid w:val="00643418"/>
    <w:rsid w:val="00643796"/>
    <w:rsid w:val="00643A82"/>
    <w:rsid w:val="0064541C"/>
    <w:rsid w:val="0064571E"/>
    <w:rsid w:val="0064640E"/>
    <w:rsid w:val="00646C34"/>
    <w:rsid w:val="00646DEB"/>
    <w:rsid w:val="006479F0"/>
    <w:rsid w:val="00650297"/>
    <w:rsid w:val="006503A5"/>
    <w:rsid w:val="0065072F"/>
    <w:rsid w:val="00650A5F"/>
    <w:rsid w:val="00650A76"/>
    <w:rsid w:val="006512B5"/>
    <w:rsid w:val="00651F1E"/>
    <w:rsid w:val="0065249D"/>
    <w:rsid w:val="00652C29"/>
    <w:rsid w:val="006535DF"/>
    <w:rsid w:val="00653CE5"/>
    <w:rsid w:val="00654360"/>
    <w:rsid w:val="0065436A"/>
    <w:rsid w:val="006544E7"/>
    <w:rsid w:val="0065469E"/>
    <w:rsid w:val="00654AD6"/>
    <w:rsid w:val="00654DEE"/>
    <w:rsid w:val="006551F0"/>
    <w:rsid w:val="00655521"/>
    <w:rsid w:val="00655FFE"/>
    <w:rsid w:val="00656B77"/>
    <w:rsid w:val="00656FEF"/>
    <w:rsid w:val="0065737B"/>
    <w:rsid w:val="006613AF"/>
    <w:rsid w:val="006622DA"/>
    <w:rsid w:val="0066234D"/>
    <w:rsid w:val="0066246F"/>
    <w:rsid w:val="0066392D"/>
    <w:rsid w:val="00664888"/>
    <w:rsid w:val="00665F06"/>
    <w:rsid w:val="00666682"/>
    <w:rsid w:val="00666B32"/>
    <w:rsid w:val="006670CC"/>
    <w:rsid w:val="00667155"/>
    <w:rsid w:val="00670268"/>
    <w:rsid w:val="006704D8"/>
    <w:rsid w:val="00672468"/>
    <w:rsid w:val="006724C1"/>
    <w:rsid w:val="006725E2"/>
    <w:rsid w:val="006727AB"/>
    <w:rsid w:val="00674411"/>
    <w:rsid w:val="0067444E"/>
    <w:rsid w:val="006750CF"/>
    <w:rsid w:val="006751BF"/>
    <w:rsid w:val="00675380"/>
    <w:rsid w:val="00675A78"/>
    <w:rsid w:val="006764A0"/>
    <w:rsid w:val="0067685F"/>
    <w:rsid w:val="00677286"/>
    <w:rsid w:val="0067761F"/>
    <w:rsid w:val="006809B0"/>
    <w:rsid w:val="00680B5F"/>
    <w:rsid w:val="00680D82"/>
    <w:rsid w:val="00681573"/>
    <w:rsid w:val="006823F0"/>
    <w:rsid w:val="00682595"/>
    <w:rsid w:val="0068291C"/>
    <w:rsid w:val="00682922"/>
    <w:rsid w:val="00682F24"/>
    <w:rsid w:val="00683AD5"/>
    <w:rsid w:val="00683CA3"/>
    <w:rsid w:val="0068477D"/>
    <w:rsid w:val="006853C6"/>
    <w:rsid w:val="006856DF"/>
    <w:rsid w:val="00685C97"/>
    <w:rsid w:val="006867DA"/>
    <w:rsid w:val="00686CF0"/>
    <w:rsid w:val="00686EB0"/>
    <w:rsid w:val="00687D64"/>
    <w:rsid w:val="00691229"/>
    <w:rsid w:val="006912FC"/>
    <w:rsid w:val="00691587"/>
    <w:rsid w:val="00691754"/>
    <w:rsid w:val="00691F90"/>
    <w:rsid w:val="0069229F"/>
    <w:rsid w:val="00692846"/>
    <w:rsid w:val="00692AB8"/>
    <w:rsid w:val="006938F0"/>
    <w:rsid w:val="00693DFF"/>
    <w:rsid w:val="00693FD4"/>
    <w:rsid w:val="0069484F"/>
    <w:rsid w:val="00694BF2"/>
    <w:rsid w:val="0069570B"/>
    <w:rsid w:val="0069586B"/>
    <w:rsid w:val="0069602E"/>
    <w:rsid w:val="0069673C"/>
    <w:rsid w:val="00697518"/>
    <w:rsid w:val="006975AC"/>
    <w:rsid w:val="006976D0"/>
    <w:rsid w:val="00697873"/>
    <w:rsid w:val="006A02E7"/>
    <w:rsid w:val="006A097B"/>
    <w:rsid w:val="006A14C5"/>
    <w:rsid w:val="006A15A4"/>
    <w:rsid w:val="006A2941"/>
    <w:rsid w:val="006A3240"/>
    <w:rsid w:val="006A3449"/>
    <w:rsid w:val="006A57C5"/>
    <w:rsid w:val="006A58AA"/>
    <w:rsid w:val="006A6AC6"/>
    <w:rsid w:val="006A6B01"/>
    <w:rsid w:val="006A7E25"/>
    <w:rsid w:val="006B0248"/>
    <w:rsid w:val="006B0685"/>
    <w:rsid w:val="006B0998"/>
    <w:rsid w:val="006B2486"/>
    <w:rsid w:val="006B2BF2"/>
    <w:rsid w:val="006B2ECB"/>
    <w:rsid w:val="006B303C"/>
    <w:rsid w:val="006B30F7"/>
    <w:rsid w:val="006B3A1C"/>
    <w:rsid w:val="006B3FBF"/>
    <w:rsid w:val="006B5D65"/>
    <w:rsid w:val="006B63A3"/>
    <w:rsid w:val="006B6C90"/>
    <w:rsid w:val="006C01F1"/>
    <w:rsid w:val="006C05C8"/>
    <w:rsid w:val="006C0B47"/>
    <w:rsid w:val="006C292F"/>
    <w:rsid w:val="006C2ADE"/>
    <w:rsid w:val="006C367C"/>
    <w:rsid w:val="006C3ABB"/>
    <w:rsid w:val="006C3FC4"/>
    <w:rsid w:val="006C40FB"/>
    <w:rsid w:val="006C4631"/>
    <w:rsid w:val="006C48D7"/>
    <w:rsid w:val="006C4919"/>
    <w:rsid w:val="006C56EB"/>
    <w:rsid w:val="006C65C0"/>
    <w:rsid w:val="006C6B3E"/>
    <w:rsid w:val="006C6D47"/>
    <w:rsid w:val="006D1D74"/>
    <w:rsid w:val="006D287D"/>
    <w:rsid w:val="006D2C9A"/>
    <w:rsid w:val="006D3CC6"/>
    <w:rsid w:val="006D528C"/>
    <w:rsid w:val="006D530B"/>
    <w:rsid w:val="006D5700"/>
    <w:rsid w:val="006D58DE"/>
    <w:rsid w:val="006D5AB0"/>
    <w:rsid w:val="006D660D"/>
    <w:rsid w:val="006D6730"/>
    <w:rsid w:val="006D797B"/>
    <w:rsid w:val="006E088C"/>
    <w:rsid w:val="006E0AB5"/>
    <w:rsid w:val="006E0CAB"/>
    <w:rsid w:val="006E0E3C"/>
    <w:rsid w:val="006E1228"/>
    <w:rsid w:val="006E1C63"/>
    <w:rsid w:val="006E3C0D"/>
    <w:rsid w:val="006E4DC1"/>
    <w:rsid w:val="006E52AF"/>
    <w:rsid w:val="006E5460"/>
    <w:rsid w:val="006E5A58"/>
    <w:rsid w:val="006E6742"/>
    <w:rsid w:val="006F007C"/>
    <w:rsid w:val="006F0375"/>
    <w:rsid w:val="006F039C"/>
    <w:rsid w:val="006F111E"/>
    <w:rsid w:val="006F11F2"/>
    <w:rsid w:val="006F135E"/>
    <w:rsid w:val="006F2141"/>
    <w:rsid w:val="006F32BC"/>
    <w:rsid w:val="006F3DF4"/>
    <w:rsid w:val="006F5008"/>
    <w:rsid w:val="006F50A1"/>
    <w:rsid w:val="006F5541"/>
    <w:rsid w:val="006F63C5"/>
    <w:rsid w:val="006F6745"/>
    <w:rsid w:val="006F769A"/>
    <w:rsid w:val="006F7880"/>
    <w:rsid w:val="006F7EEB"/>
    <w:rsid w:val="00700484"/>
    <w:rsid w:val="00700B98"/>
    <w:rsid w:val="00700E7F"/>
    <w:rsid w:val="00701089"/>
    <w:rsid w:val="00701CD5"/>
    <w:rsid w:val="00701CE1"/>
    <w:rsid w:val="00702C51"/>
    <w:rsid w:val="007036D1"/>
    <w:rsid w:val="00703B1A"/>
    <w:rsid w:val="00703C19"/>
    <w:rsid w:val="00705B59"/>
    <w:rsid w:val="00705CD1"/>
    <w:rsid w:val="00705F3F"/>
    <w:rsid w:val="007067D1"/>
    <w:rsid w:val="00706BAC"/>
    <w:rsid w:val="0070702D"/>
    <w:rsid w:val="0070745E"/>
    <w:rsid w:val="00707E71"/>
    <w:rsid w:val="007128D0"/>
    <w:rsid w:val="00712AEB"/>
    <w:rsid w:val="007140A2"/>
    <w:rsid w:val="00715319"/>
    <w:rsid w:val="007163DD"/>
    <w:rsid w:val="007167EB"/>
    <w:rsid w:val="00716C19"/>
    <w:rsid w:val="00716EE3"/>
    <w:rsid w:val="00717D26"/>
    <w:rsid w:val="00717EBE"/>
    <w:rsid w:val="00720741"/>
    <w:rsid w:val="00720784"/>
    <w:rsid w:val="00722110"/>
    <w:rsid w:val="0072235E"/>
    <w:rsid w:val="00722428"/>
    <w:rsid w:val="00722A2B"/>
    <w:rsid w:val="00722A5D"/>
    <w:rsid w:val="007235A1"/>
    <w:rsid w:val="00723B4B"/>
    <w:rsid w:val="007242F7"/>
    <w:rsid w:val="00725311"/>
    <w:rsid w:val="007257BF"/>
    <w:rsid w:val="00725E84"/>
    <w:rsid w:val="00725ECC"/>
    <w:rsid w:val="00726877"/>
    <w:rsid w:val="00726A07"/>
    <w:rsid w:val="00727A83"/>
    <w:rsid w:val="00727ABB"/>
    <w:rsid w:val="00727E99"/>
    <w:rsid w:val="00730AF8"/>
    <w:rsid w:val="00730BF3"/>
    <w:rsid w:val="00731148"/>
    <w:rsid w:val="007314A0"/>
    <w:rsid w:val="00731580"/>
    <w:rsid w:val="00731699"/>
    <w:rsid w:val="00732149"/>
    <w:rsid w:val="0073252F"/>
    <w:rsid w:val="00734403"/>
    <w:rsid w:val="00734672"/>
    <w:rsid w:val="00734980"/>
    <w:rsid w:val="00735951"/>
    <w:rsid w:val="00735D05"/>
    <w:rsid w:val="00736648"/>
    <w:rsid w:val="007368BC"/>
    <w:rsid w:val="00736FC7"/>
    <w:rsid w:val="007375BE"/>
    <w:rsid w:val="00740531"/>
    <w:rsid w:val="00740DB5"/>
    <w:rsid w:val="00742E34"/>
    <w:rsid w:val="00743A1D"/>
    <w:rsid w:val="00745971"/>
    <w:rsid w:val="00745E40"/>
    <w:rsid w:val="007463DA"/>
    <w:rsid w:val="007469C6"/>
    <w:rsid w:val="007477DF"/>
    <w:rsid w:val="00750317"/>
    <w:rsid w:val="00751136"/>
    <w:rsid w:val="00751F8E"/>
    <w:rsid w:val="0075249F"/>
    <w:rsid w:val="007528FE"/>
    <w:rsid w:val="0075293A"/>
    <w:rsid w:val="0075321C"/>
    <w:rsid w:val="0075329C"/>
    <w:rsid w:val="00753A5B"/>
    <w:rsid w:val="00754516"/>
    <w:rsid w:val="007549D6"/>
    <w:rsid w:val="007554AE"/>
    <w:rsid w:val="00755A2A"/>
    <w:rsid w:val="007565EC"/>
    <w:rsid w:val="00756701"/>
    <w:rsid w:val="00756757"/>
    <w:rsid w:val="0075694F"/>
    <w:rsid w:val="00756CD0"/>
    <w:rsid w:val="007574F5"/>
    <w:rsid w:val="0076064E"/>
    <w:rsid w:val="00760E60"/>
    <w:rsid w:val="0076157E"/>
    <w:rsid w:val="0076191E"/>
    <w:rsid w:val="007619D4"/>
    <w:rsid w:val="00761D7B"/>
    <w:rsid w:val="00761E3C"/>
    <w:rsid w:val="00761F3B"/>
    <w:rsid w:val="00762161"/>
    <w:rsid w:val="0076248B"/>
    <w:rsid w:val="00763141"/>
    <w:rsid w:val="00763F9C"/>
    <w:rsid w:val="00766AD0"/>
    <w:rsid w:val="00767342"/>
    <w:rsid w:val="007674EB"/>
    <w:rsid w:val="0076797D"/>
    <w:rsid w:val="007679FF"/>
    <w:rsid w:val="007704FA"/>
    <w:rsid w:val="007707EF"/>
    <w:rsid w:val="00770941"/>
    <w:rsid w:val="00770AFA"/>
    <w:rsid w:val="00770B23"/>
    <w:rsid w:val="00770EA8"/>
    <w:rsid w:val="00771073"/>
    <w:rsid w:val="00771119"/>
    <w:rsid w:val="00771785"/>
    <w:rsid w:val="007722AA"/>
    <w:rsid w:val="00773DBE"/>
    <w:rsid w:val="00773F95"/>
    <w:rsid w:val="00774A39"/>
    <w:rsid w:val="00774B9A"/>
    <w:rsid w:val="007756AD"/>
    <w:rsid w:val="00775D1B"/>
    <w:rsid w:val="007766B0"/>
    <w:rsid w:val="0077703A"/>
    <w:rsid w:val="0077711E"/>
    <w:rsid w:val="00777212"/>
    <w:rsid w:val="00777A86"/>
    <w:rsid w:val="00777D4B"/>
    <w:rsid w:val="00780B55"/>
    <w:rsid w:val="0078149A"/>
    <w:rsid w:val="007815E4"/>
    <w:rsid w:val="00781876"/>
    <w:rsid w:val="007819B5"/>
    <w:rsid w:val="00781DBC"/>
    <w:rsid w:val="00782052"/>
    <w:rsid w:val="007826E9"/>
    <w:rsid w:val="00782C15"/>
    <w:rsid w:val="00783523"/>
    <w:rsid w:val="00783EE8"/>
    <w:rsid w:val="00783F78"/>
    <w:rsid w:val="00784C95"/>
    <w:rsid w:val="00787C80"/>
    <w:rsid w:val="0079038A"/>
    <w:rsid w:val="007914D3"/>
    <w:rsid w:val="00791BFF"/>
    <w:rsid w:val="00792053"/>
    <w:rsid w:val="00792262"/>
    <w:rsid w:val="007932C5"/>
    <w:rsid w:val="00793D17"/>
    <w:rsid w:val="00794030"/>
    <w:rsid w:val="00794055"/>
    <w:rsid w:val="00794F03"/>
    <w:rsid w:val="0079606B"/>
    <w:rsid w:val="007971C4"/>
    <w:rsid w:val="00797DC8"/>
    <w:rsid w:val="007A12C4"/>
    <w:rsid w:val="007A1C42"/>
    <w:rsid w:val="007A2E97"/>
    <w:rsid w:val="007A32DA"/>
    <w:rsid w:val="007A447A"/>
    <w:rsid w:val="007A4B24"/>
    <w:rsid w:val="007A4BAD"/>
    <w:rsid w:val="007A4EAB"/>
    <w:rsid w:val="007A565A"/>
    <w:rsid w:val="007A5A91"/>
    <w:rsid w:val="007A5F42"/>
    <w:rsid w:val="007A610E"/>
    <w:rsid w:val="007A69FF"/>
    <w:rsid w:val="007A6AB9"/>
    <w:rsid w:val="007A71D0"/>
    <w:rsid w:val="007A7206"/>
    <w:rsid w:val="007A7C17"/>
    <w:rsid w:val="007A7DB7"/>
    <w:rsid w:val="007A7FC9"/>
    <w:rsid w:val="007A7FEF"/>
    <w:rsid w:val="007B0C83"/>
    <w:rsid w:val="007B167B"/>
    <w:rsid w:val="007B1A87"/>
    <w:rsid w:val="007B1B34"/>
    <w:rsid w:val="007B1F9C"/>
    <w:rsid w:val="007B222E"/>
    <w:rsid w:val="007B2368"/>
    <w:rsid w:val="007B25AD"/>
    <w:rsid w:val="007B29D1"/>
    <w:rsid w:val="007B2AB1"/>
    <w:rsid w:val="007B3940"/>
    <w:rsid w:val="007B395F"/>
    <w:rsid w:val="007B3A3D"/>
    <w:rsid w:val="007B41D5"/>
    <w:rsid w:val="007B53A2"/>
    <w:rsid w:val="007B53FB"/>
    <w:rsid w:val="007B575F"/>
    <w:rsid w:val="007B6DF2"/>
    <w:rsid w:val="007B70CB"/>
    <w:rsid w:val="007B710E"/>
    <w:rsid w:val="007B7276"/>
    <w:rsid w:val="007C0110"/>
    <w:rsid w:val="007C0722"/>
    <w:rsid w:val="007C12F2"/>
    <w:rsid w:val="007C2B4A"/>
    <w:rsid w:val="007C30F5"/>
    <w:rsid w:val="007C3E5D"/>
    <w:rsid w:val="007C4198"/>
    <w:rsid w:val="007C45F6"/>
    <w:rsid w:val="007C6263"/>
    <w:rsid w:val="007C694A"/>
    <w:rsid w:val="007C6A1F"/>
    <w:rsid w:val="007C6D76"/>
    <w:rsid w:val="007C6EFA"/>
    <w:rsid w:val="007D012C"/>
    <w:rsid w:val="007D07C6"/>
    <w:rsid w:val="007D0F55"/>
    <w:rsid w:val="007D1274"/>
    <w:rsid w:val="007D1B79"/>
    <w:rsid w:val="007D1ED8"/>
    <w:rsid w:val="007D2433"/>
    <w:rsid w:val="007D25B8"/>
    <w:rsid w:val="007D2F81"/>
    <w:rsid w:val="007D327B"/>
    <w:rsid w:val="007D3F52"/>
    <w:rsid w:val="007D43AD"/>
    <w:rsid w:val="007D45DC"/>
    <w:rsid w:val="007D4EE9"/>
    <w:rsid w:val="007D5183"/>
    <w:rsid w:val="007D52B6"/>
    <w:rsid w:val="007D5EBE"/>
    <w:rsid w:val="007D77D9"/>
    <w:rsid w:val="007D78DE"/>
    <w:rsid w:val="007D7A18"/>
    <w:rsid w:val="007D7E96"/>
    <w:rsid w:val="007E0F00"/>
    <w:rsid w:val="007E12A5"/>
    <w:rsid w:val="007E132F"/>
    <w:rsid w:val="007E15E1"/>
    <w:rsid w:val="007E1926"/>
    <w:rsid w:val="007E1ED5"/>
    <w:rsid w:val="007E22D5"/>
    <w:rsid w:val="007E23B8"/>
    <w:rsid w:val="007E25A9"/>
    <w:rsid w:val="007E3D0C"/>
    <w:rsid w:val="007E43DA"/>
    <w:rsid w:val="007E4FE3"/>
    <w:rsid w:val="007E5473"/>
    <w:rsid w:val="007E553F"/>
    <w:rsid w:val="007E5A45"/>
    <w:rsid w:val="007E62FA"/>
    <w:rsid w:val="007E63DE"/>
    <w:rsid w:val="007E64DF"/>
    <w:rsid w:val="007E6F85"/>
    <w:rsid w:val="007E7166"/>
    <w:rsid w:val="007E79FF"/>
    <w:rsid w:val="007F03D3"/>
    <w:rsid w:val="007F0484"/>
    <w:rsid w:val="007F0668"/>
    <w:rsid w:val="007F09F6"/>
    <w:rsid w:val="007F0E05"/>
    <w:rsid w:val="007F15C5"/>
    <w:rsid w:val="007F17CA"/>
    <w:rsid w:val="007F18A3"/>
    <w:rsid w:val="007F275B"/>
    <w:rsid w:val="007F27F2"/>
    <w:rsid w:val="007F28FA"/>
    <w:rsid w:val="007F33F9"/>
    <w:rsid w:val="007F38CE"/>
    <w:rsid w:val="007F3B00"/>
    <w:rsid w:val="007F3FF4"/>
    <w:rsid w:val="007F4168"/>
    <w:rsid w:val="007F4443"/>
    <w:rsid w:val="007F464B"/>
    <w:rsid w:val="007F5874"/>
    <w:rsid w:val="007F5A53"/>
    <w:rsid w:val="007F65A2"/>
    <w:rsid w:val="007F6773"/>
    <w:rsid w:val="007F6B5F"/>
    <w:rsid w:val="007F6C86"/>
    <w:rsid w:val="007F7085"/>
    <w:rsid w:val="007F7598"/>
    <w:rsid w:val="007F7B67"/>
    <w:rsid w:val="007F7F50"/>
    <w:rsid w:val="00800703"/>
    <w:rsid w:val="00800B84"/>
    <w:rsid w:val="00800CCE"/>
    <w:rsid w:val="00800FCC"/>
    <w:rsid w:val="0080116B"/>
    <w:rsid w:val="0080164D"/>
    <w:rsid w:val="00801C01"/>
    <w:rsid w:val="00801D0C"/>
    <w:rsid w:val="0080219E"/>
    <w:rsid w:val="00802DE0"/>
    <w:rsid w:val="0080314B"/>
    <w:rsid w:val="00803772"/>
    <w:rsid w:val="008042FD"/>
    <w:rsid w:val="008045D6"/>
    <w:rsid w:val="0080498D"/>
    <w:rsid w:val="00804C30"/>
    <w:rsid w:val="008051B4"/>
    <w:rsid w:val="008063BF"/>
    <w:rsid w:val="00806C9E"/>
    <w:rsid w:val="00806E13"/>
    <w:rsid w:val="00807400"/>
    <w:rsid w:val="00807AB5"/>
    <w:rsid w:val="00807C1E"/>
    <w:rsid w:val="00810272"/>
    <w:rsid w:val="00810365"/>
    <w:rsid w:val="0081047A"/>
    <w:rsid w:val="0081064B"/>
    <w:rsid w:val="008109A1"/>
    <w:rsid w:val="00811075"/>
    <w:rsid w:val="0081157C"/>
    <w:rsid w:val="00811A5A"/>
    <w:rsid w:val="00811AF9"/>
    <w:rsid w:val="00811FE8"/>
    <w:rsid w:val="008125B6"/>
    <w:rsid w:val="00812689"/>
    <w:rsid w:val="00812835"/>
    <w:rsid w:val="008160A5"/>
    <w:rsid w:val="00816245"/>
    <w:rsid w:val="00816716"/>
    <w:rsid w:val="00816910"/>
    <w:rsid w:val="00816917"/>
    <w:rsid w:val="0081696E"/>
    <w:rsid w:val="00816BFE"/>
    <w:rsid w:val="00816F96"/>
    <w:rsid w:val="00817525"/>
    <w:rsid w:val="0081772C"/>
    <w:rsid w:val="00817D33"/>
    <w:rsid w:val="00817E08"/>
    <w:rsid w:val="00817EC7"/>
    <w:rsid w:val="00820084"/>
    <w:rsid w:val="00820D82"/>
    <w:rsid w:val="008219EB"/>
    <w:rsid w:val="00821A10"/>
    <w:rsid w:val="008230FB"/>
    <w:rsid w:val="00825352"/>
    <w:rsid w:val="00825822"/>
    <w:rsid w:val="00825D63"/>
    <w:rsid w:val="008262BC"/>
    <w:rsid w:val="008262E1"/>
    <w:rsid w:val="00827CD8"/>
    <w:rsid w:val="00827E3E"/>
    <w:rsid w:val="00830B4A"/>
    <w:rsid w:val="00830FA0"/>
    <w:rsid w:val="008310AA"/>
    <w:rsid w:val="008315FA"/>
    <w:rsid w:val="00831628"/>
    <w:rsid w:val="008319A2"/>
    <w:rsid w:val="00831C40"/>
    <w:rsid w:val="00831D86"/>
    <w:rsid w:val="008323B7"/>
    <w:rsid w:val="008324DF"/>
    <w:rsid w:val="00832EE5"/>
    <w:rsid w:val="008332DA"/>
    <w:rsid w:val="00833EFB"/>
    <w:rsid w:val="0083436C"/>
    <w:rsid w:val="00834413"/>
    <w:rsid w:val="00834FA5"/>
    <w:rsid w:val="00835D26"/>
    <w:rsid w:val="00835F16"/>
    <w:rsid w:val="00836535"/>
    <w:rsid w:val="0083672C"/>
    <w:rsid w:val="00837326"/>
    <w:rsid w:val="00837B15"/>
    <w:rsid w:val="008406BC"/>
    <w:rsid w:val="008409AE"/>
    <w:rsid w:val="008411F5"/>
    <w:rsid w:val="0084150A"/>
    <w:rsid w:val="00841F8A"/>
    <w:rsid w:val="00841F96"/>
    <w:rsid w:val="00842C6F"/>
    <w:rsid w:val="00842CC5"/>
    <w:rsid w:val="00843FC1"/>
    <w:rsid w:val="00844538"/>
    <w:rsid w:val="008448D5"/>
    <w:rsid w:val="00845152"/>
    <w:rsid w:val="00845541"/>
    <w:rsid w:val="00845D90"/>
    <w:rsid w:val="00845E03"/>
    <w:rsid w:val="008465FD"/>
    <w:rsid w:val="0084668B"/>
    <w:rsid w:val="00846844"/>
    <w:rsid w:val="008469B8"/>
    <w:rsid w:val="00846D97"/>
    <w:rsid w:val="00846DCC"/>
    <w:rsid w:val="008476C1"/>
    <w:rsid w:val="00847A47"/>
    <w:rsid w:val="00847B7F"/>
    <w:rsid w:val="00850421"/>
    <w:rsid w:val="008504CD"/>
    <w:rsid w:val="00850D69"/>
    <w:rsid w:val="00851389"/>
    <w:rsid w:val="00851539"/>
    <w:rsid w:val="00852D03"/>
    <w:rsid w:val="008533B3"/>
    <w:rsid w:val="008533F3"/>
    <w:rsid w:val="00854DD4"/>
    <w:rsid w:val="0085539C"/>
    <w:rsid w:val="00855A88"/>
    <w:rsid w:val="00855A89"/>
    <w:rsid w:val="00855D00"/>
    <w:rsid w:val="008564F0"/>
    <w:rsid w:val="00856885"/>
    <w:rsid w:val="008571BD"/>
    <w:rsid w:val="00857D0B"/>
    <w:rsid w:val="00860407"/>
    <w:rsid w:val="00860467"/>
    <w:rsid w:val="008605C0"/>
    <w:rsid w:val="008605F1"/>
    <w:rsid w:val="0086060F"/>
    <w:rsid w:val="008606BB"/>
    <w:rsid w:val="0086077C"/>
    <w:rsid w:val="00861670"/>
    <w:rsid w:val="0086171A"/>
    <w:rsid w:val="00861B2F"/>
    <w:rsid w:val="008622AC"/>
    <w:rsid w:val="0086235A"/>
    <w:rsid w:val="0086252A"/>
    <w:rsid w:val="00862578"/>
    <w:rsid w:val="00863075"/>
    <w:rsid w:val="0086318B"/>
    <w:rsid w:val="00863A45"/>
    <w:rsid w:val="008640AD"/>
    <w:rsid w:val="00864162"/>
    <w:rsid w:val="00864344"/>
    <w:rsid w:val="0086467B"/>
    <w:rsid w:val="008649AE"/>
    <w:rsid w:val="00865D08"/>
    <w:rsid w:val="00866075"/>
    <w:rsid w:val="008661AA"/>
    <w:rsid w:val="00866906"/>
    <w:rsid w:val="00866921"/>
    <w:rsid w:val="008669FF"/>
    <w:rsid w:val="00867939"/>
    <w:rsid w:val="008707F8"/>
    <w:rsid w:val="0087177D"/>
    <w:rsid w:val="00872E3C"/>
    <w:rsid w:val="008731C8"/>
    <w:rsid w:val="008733D1"/>
    <w:rsid w:val="00874850"/>
    <w:rsid w:val="0087486E"/>
    <w:rsid w:val="00874C33"/>
    <w:rsid w:val="0087536A"/>
    <w:rsid w:val="0087563D"/>
    <w:rsid w:val="00875EF0"/>
    <w:rsid w:val="00876585"/>
    <w:rsid w:val="00877957"/>
    <w:rsid w:val="00877DFC"/>
    <w:rsid w:val="00880AB8"/>
    <w:rsid w:val="00880FCA"/>
    <w:rsid w:val="008811C5"/>
    <w:rsid w:val="00881591"/>
    <w:rsid w:val="008816E3"/>
    <w:rsid w:val="00882123"/>
    <w:rsid w:val="008829D0"/>
    <w:rsid w:val="00882F87"/>
    <w:rsid w:val="00883108"/>
    <w:rsid w:val="0088311F"/>
    <w:rsid w:val="0088390F"/>
    <w:rsid w:val="00883BA5"/>
    <w:rsid w:val="00883E23"/>
    <w:rsid w:val="00883E37"/>
    <w:rsid w:val="0088482F"/>
    <w:rsid w:val="0088492E"/>
    <w:rsid w:val="00885143"/>
    <w:rsid w:val="00885D5D"/>
    <w:rsid w:val="00885F65"/>
    <w:rsid w:val="008860A7"/>
    <w:rsid w:val="008874A6"/>
    <w:rsid w:val="00887516"/>
    <w:rsid w:val="008879DA"/>
    <w:rsid w:val="00890646"/>
    <w:rsid w:val="008918F3"/>
    <w:rsid w:val="00892863"/>
    <w:rsid w:val="00892A87"/>
    <w:rsid w:val="008934A5"/>
    <w:rsid w:val="0089351C"/>
    <w:rsid w:val="00893F56"/>
    <w:rsid w:val="008964CC"/>
    <w:rsid w:val="00896974"/>
    <w:rsid w:val="00896BE7"/>
    <w:rsid w:val="008970D8"/>
    <w:rsid w:val="0089762B"/>
    <w:rsid w:val="00897D35"/>
    <w:rsid w:val="008A030C"/>
    <w:rsid w:val="008A0D0A"/>
    <w:rsid w:val="008A176E"/>
    <w:rsid w:val="008A2A0E"/>
    <w:rsid w:val="008A2A1D"/>
    <w:rsid w:val="008A384D"/>
    <w:rsid w:val="008A3B41"/>
    <w:rsid w:val="008A447B"/>
    <w:rsid w:val="008A5AF9"/>
    <w:rsid w:val="008A6E06"/>
    <w:rsid w:val="008A73BA"/>
    <w:rsid w:val="008B0686"/>
    <w:rsid w:val="008B0A39"/>
    <w:rsid w:val="008B1B67"/>
    <w:rsid w:val="008B31DC"/>
    <w:rsid w:val="008B42C8"/>
    <w:rsid w:val="008B5212"/>
    <w:rsid w:val="008B5E02"/>
    <w:rsid w:val="008B6752"/>
    <w:rsid w:val="008B6A2F"/>
    <w:rsid w:val="008B7042"/>
    <w:rsid w:val="008C1507"/>
    <w:rsid w:val="008C23C0"/>
    <w:rsid w:val="008C2DCD"/>
    <w:rsid w:val="008C3240"/>
    <w:rsid w:val="008C32E8"/>
    <w:rsid w:val="008C3964"/>
    <w:rsid w:val="008C3B2A"/>
    <w:rsid w:val="008C44CD"/>
    <w:rsid w:val="008C4949"/>
    <w:rsid w:val="008C55F4"/>
    <w:rsid w:val="008C57DE"/>
    <w:rsid w:val="008C7200"/>
    <w:rsid w:val="008C722E"/>
    <w:rsid w:val="008D028A"/>
    <w:rsid w:val="008D0CF5"/>
    <w:rsid w:val="008D3A27"/>
    <w:rsid w:val="008D4062"/>
    <w:rsid w:val="008D41F9"/>
    <w:rsid w:val="008D44B0"/>
    <w:rsid w:val="008D4B39"/>
    <w:rsid w:val="008D4C7A"/>
    <w:rsid w:val="008D4E09"/>
    <w:rsid w:val="008D4E8F"/>
    <w:rsid w:val="008D5541"/>
    <w:rsid w:val="008D6947"/>
    <w:rsid w:val="008D6F75"/>
    <w:rsid w:val="008D7744"/>
    <w:rsid w:val="008E00C4"/>
    <w:rsid w:val="008E07CF"/>
    <w:rsid w:val="008E08FA"/>
    <w:rsid w:val="008E16C6"/>
    <w:rsid w:val="008E28AF"/>
    <w:rsid w:val="008E3131"/>
    <w:rsid w:val="008E4770"/>
    <w:rsid w:val="008E5F97"/>
    <w:rsid w:val="008E6B33"/>
    <w:rsid w:val="008E7D11"/>
    <w:rsid w:val="008F098F"/>
    <w:rsid w:val="008F2068"/>
    <w:rsid w:val="008F336C"/>
    <w:rsid w:val="008F3916"/>
    <w:rsid w:val="008F3C5D"/>
    <w:rsid w:val="008F4021"/>
    <w:rsid w:val="008F5F05"/>
    <w:rsid w:val="008F698C"/>
    <w:rsid w:val="008F7741"/>
    <w:rsid w:val="008F7DFF"/>
    <w:rsid w:val="00901668"/>
    <w:rsid w:val="0090276A"/>
    <w:rsid w:val="00903472"/>
    <w:rsid w:val="00904326"/>
    <w:rsid w:val="009047CF"/>
    <w:rsid w:val="00904E95"/>
    <w:rsid w:val="00904EA7"/>
    <w:rsid w:val="00904F66"/>
    <w:rsid w:val="00905B06"/>
    <w:rsid w:val="009064D8"/>
    <w:rsid w:val="00906B2D"/>
    <w:rsid w:val="00906D27"/>
    <w:rsid w:val="00906E74"/>
    <w:rsid w:val="0090720C"/>
    <w:rsid w:val="009103EF"/>
    <w:rsid w:val="00910574"/>
    <w:rsid w:val="00910C33"/>
    <w:rsid w:val="00911164"/>
    <w:rsid w:val="009126CC"/>
    <w:rsid w:val="00912C10"/>
    <w:rsid w:val="00913365"/>
    <w:rsid w:val="00913435"/>
    <w:rsid w:val="00913C3D"/>
    <w:rsid w:val="00914189"/>
    <w:rsid w:val="00914F82"/>
    <w:rsid w:val="009152CF"/>
    <w:rsid w:val="009153B5"/>
    <w:rsid w:val="0091636C"/>
    <w:rsid w:val="00916947"/>
    <w:rsid w:val="00916DD6"/>
    <w:rsid w:val="009172BB"/>
    <w:rsid w:val="00920014"/>
    <w:rsid w:val="00920201"/>
    <w:rsid w:val="009205E4"/>
    <w:rsid w:val="0092084E"/>
    <w:rsid w:val="00920858"/>
    <w:rsid w:val="00920CB6"/>
    <w:rsid w:val="0092125A"/>
    <w:rsid w:val="009218D0"/>
    <w:rsid w:val="00921CB5"/>
    <w:rsid w:val="00921DFE"/>
    <w:rsid w:val="00922BC9"/>
    <w:rsid w:val="0092310B"/>
    <w:rsid w:val="009236D9"/>
    <w:rsid w:val="0092475B"/>
    <w:rsid w:val="00925E8F"/>
    <w:rsid w:val="009263BD"/>
    <w:rsid w:val="009264A1"/>
    <w:rsid w:val="00926A74"/>
    <w:rsid w:val="00927FD6"/>
    <w:rsid w:val="009300D3"/>
    <w:rsid w:val="00931102"/>
    <w:rsid w:val="009319BF"/>
    <w:rsid w:val="00931BB9"/>
    <w:rsid w:val="00931CC6"/>
    <w:rsid w:val="0093210A"/>
    <w:rsid w:val="009328EE"/>
    <w:rsid w:val="00932E36"/>
    <w:rsid w:val="00933005"/>
    <w:rsid w:val="00934888"/>
    <w:rsid w:val="00934989"/>
    <w:rsid w:val="0093527B"/>
    <w:rsid w:val="0093542A"/>
    <w:rsid w:val="009354D8"/>
    <w:rsid w:val="00935559"/>
    <w:rsid w:val="00935D6B"/>
    <w:rsid w:val="00936641"/>
    <w:rsid w:val="00936659"/>
    <w:rsid w:val="00936831"/>
    <w:rsid w:val="009368CD"/>
    <w:rsid w:val="00937A09"/>
    <w:rsid w:val="00937FCF"/>
    <w:rsid w:val="009400B5"/>
    <w:rsid w:val="009405A1"/>
    <w:rsid w:val="00940974"/>
    <w:rsid w:val="009409DA"/>
    <w:rsid w:val="00940CA3"/>
    <w:rsid w:val="00940E39"/>
    <w:rsid w:val="00942197"/>
    <w:rsid w:val="0094238E"/>
    <w:rsid w:val="00942410"/>
    <w:rsid w:val="009425AB"/>
    <w:rsid w:val="0094399F"/>
    <w:rsid w:val="0094543C"/>
    <w:rsid w:val="009457A3"/>
    <w:rsid w:val="009457B0"/>
    <w:rsid w:val="00945A69"/>
    <w:rsid w:val="009462CA"/>
    <w:rsid w:val="009466A7"/>
    <w:rsid w:val="00946F99"/>
    <w:rsid w:val="00947006"/>
    <w:rsid w:val="0094735A"/>
    <w:rsid w:val="00947C41"/>
    <w:rsid w:val="00947F0B"/>
    <w:rsid w:val="0095008D"/>
    <w:rsid w:val="0095100A"/>
    <w:rsid w:val="00951084"/>
    <w:rsid w:val="00952063"/>
    <w:rsid w:val="00952B55"/>
    <w:rsid w:val="00952D2D"/>
    <w:rsid w:val="00952E93"/>
    <w:rsid w:val="00952F6E"/>
    <w:rsid w:val="009532F3"/>
    <w:rsid w:val="00953D7F"/>
    <w:rsid w:val="00953F1B"/>
    <w:rsid w:val="009542B4"/>
    <w:rsid w:val="009543A2"/>
    <w:rsid w:val="0095448E"/>
    <w:rsid w:val="00954BBA"/>
    <w:rsid w:val="00955E57"/>
    <w:rsid w:val="00956468"/>
    <w:rsid w:val="009565E5"/>
    <w:rsid w:val="00957F21"/>
    <w:rsid w:val="009605BD"/>
    <w:rsid w:val="009608DA"/>
    <w:rsid w:val="00960E79"/>
    <w:rsid w:val="00961541"/>
    <w:rsid w:val="009623A0"/>
    <w:rsid w:val="0096472D"/>
    <w:rsid w:val="00964CCF"/>
    <w:rsid w:val="009650E0"/>
    <w:rsid w:val="0096547F"/>
    <w:rsid w:val="00965FAF"/>
    <w:rsid w:val="00966146"/>
    <w:rsid w:val="00966362"/>
    <w:rsid w:val="00967564"/>
    <w:rsid w:val="00967793"/>
    <w:rsid w:val="00967B6C"/>
    <w:rsid w:val="00967C05"/>
    <w:rsid w:val="00971B08"/>
    <w:rsid w:val="00971D89"/>
    <w:rsid w:val="009722D0"/>
    <w:rsid w:val="00972AB0"/>
    <w:rsid w:val="00972E36"/>
    <w:rsid w:val="009730EA"/>
    <w:rsid w:val="00973172"/>
    <w:rsid w:val="0097327A"/>
    <w:rsid w:val="009743F6"/>
    <w:rsid w:val="009747AC"/>
    <w:rsid w:val="009747CC"/>
    <w:rsid w:val="00974C02"/>
    <w:rsid w:val="00974C47"/>
    <w:rsid w:val="00974CA2"/>
    <w:rsid w:val="009753DA"/>
    <w:rsid w:val="0097613C"/>
    <w:rsid w:val="00976FE7"/>
    <w:rsid w:val="0097732C"/>
    <w:rsid w:val="00977749"/>
    <w:rsid w:val="009779E5"/>
    <w:rsid w:val="00980052"/>
    <w:rsid w:val="0098019F"/>
    <w:rsid w:val="00980DF7"/>
    <w:rsid w:val="00981A86"/>
    <w:rsid w:val="00981F4F"/>
    <w:rsid w:val="0098316E"/>
    <w:rsid w:val="009835C6"/>
    <w:rsid w:val="009840FE"/>
    <w:rsid w:val="0098425D"/>
    <w:rsid w:val="0098452A"/>
    <w:rsid w:val="00985500"/>
    <w:rsid w:val="00985733"/>
    <w:rsid w:val="0098719B"/>
    <w:rsid w:val="009878F3"/>
    <w:rsid w:val="00987ABD"/>
    <w:rsid w:val="00987B45"/>
    <w:rsid w:val="00987CA5"/>
    <w:rsid w:val="00987D4C"/>
    <w:rsid w:val="009910E6"/>
    <w:rsid w:val="00991621"/>
    <w:rsid w:val="00991663"/>
    <w:rsid w:val="009918F2"/>
    <w:rsid w:val="00991B79"/>
    <w:rsid w:val="00991C86"/>
    <w:rsid w:val="00991CF8"/>
    <w:rsid w:val="00992392"/>
    <w:rsid w:val="00993930"/>
    <w:rsid w:val="00993AB8"/>
    <w:rsid w:val="00993B50"/>
    <w:rsid w:val="00993FBF"/>
    <w:rsid w:val="00994B74"/>
    <w:rsid w:val="00994BBA"/>
    <w:rsid w:val="00995287"/>
    <w:rsid w:val="00995390"/>
    <w:rsid w:val="00996728"/>
    <w:rsid w:val="00997C1F"/>
    <w:rsid w:val="009A03C6"/>
    <w:rsid w:val="009A0820"/>
    <w:rsid w:val="009A12A6"/>
    <w:rsid w:val="009A26F0"/>
    <w:rsid w:val="009A2FE3"/>
    <w:rsid w:val="009A36EF"/>
    <w:rsid w:val="009A4C58"/>
    <w:rsid w:val="009A500D"/>
    <w:rsid w:val="009A5298"/>
    <w:rsid w:val="009A5C63"/>
    <w:rsid w:val="009A63A3"/>
    <w:rsid w:val="009A6438"/>
    <w:rsid w:val="009A67E3"/>
    <w:rsid w:val="009A6901"/>
    <w:rsid w:val="009A7432"/>
    <w:rsid w:val="009B015B"/>
    <w:rsid w:val="009B05DB"/>
    <w:rsid w:val="009B1449"/>
    <w:rsid w:val="009B1DCA"/>
    <w:rsid w:val="009B346C"/>
    <w:rsid w:val="009B3ED4"/>
    <w:rsid w:val="009B4792"/>
    <w:rsid w:val="009B479C"/>
    <w:rsid w:val="009B47CA"/>
    <w:rsid w:val="009B47D9"/>
    <w:rsid w:val="009B5C3A"/>
    <w:rsid w:val="009B618E"/>
    <w:rsid w:val="009B61ED"/>
    <w:rsid w:val="009B6DAF"/>
    <w:rsid w:val="009B7B0F"/>
    <w:rsid w:val="009C0C67"/>
    <w:rsid w:val="009C0EC1"/>
    <w:rsid w:val="009C2E70"/>
    <w:rsid w:val="009C31A9"/>
    <w:rsid w:val="009C3C43"/>
    <w:rsid w:val="009C3E0C"/>
    <w:rsid w:val="009C4B9C"/>
    <w:rsid w:val="009C4ED3"/>
    <w:rsid w:val="009C55CE"/>
    <w:rsid w:val="009C5945"/>
    <w:rsid w:val="009C6560"/>
    <w:rsid w:val="009C6984"/>
    <w:rsid w:val="009C6AA9"/>
    <w:rsid w:val="009C77C4"/>
    <w:rsid w:val="009C78B3"/>
    <w:rsid w:val="009C7AE9"/>
    <w:rsid w:val="009D00B7"/>
    <w:rsid w:val="009D02A9"/>
    <w:rsid w:val="009D0A0D"/>
    <w:rsid w:val="009D0E5C"/>
    <w:rsid w:val="009D1A52"/>
    <w:rsid w:val="009D1D8F"/>
    <w:rsid w:val="009D24D9"/>
    <w:rsid w:val="009D263F"/>
    <w:rsid w:val="009D2933"/>
    <w:rsid w:val="009D2DA4"/>
    <w:rsid w:val="009D3233"/>
    <w:rsid w:val="009D33E7"/>
    <w:rsid w:val="009D3DF0"/>
    <w:rsid w:val="009D455F"/>
    <w:rsid w:val="009D5192"/>
    <w:rsid w:val="009D5460"/>
    <w:rsid w:val="009D5BE8"/>
    <w:rsid w:val="009D5E21"/>
    <w:rsid w:val="009D63A1"/>
    <w:rsid w:val="009D64A6"/>
    <w:rsid w:val="009D68DE"/>
    <w:rsid w:val="009D6F97"/>
    <w:rsid w:val="009D75E6"/>
    <w:rsid w:val="009D773C"/>
    <w:rsid w:val="009D7926"/>
    <w:rsid w:val="009D7AB6"/>
    <w:rsid w:val="009D7C59"/>
    <w:rsid w:val="009E039F"/>
    <w:rsid w:val="009E0CE0"/>
    <w:rsid w:val="009E1B5B"/>
    <w:rsid w:val="009E2418"/>
    <w:rsid w:val="009E2843"/>
    <w:rsid w:val="009E284D"/>
    <w:rsid w:val="009E2CC8"/>
    <w:rsid w:val="009E30B7"/>
    <w:rsid w:val="009E3747"/>
    <w:rsid w:val="009E3A94"/>
    <w:rsid w:val="009E4005"/>
    <w:rsid w:val="009E45B3"/>
    <w:rsid w:val="009E649C"/>
    <w:rsid w:val="009E65AD"/>
    <w:rsid w:val="009E671A"/>
    <w:rsid w:val="009E6C9F"/>
    <w:rsid w:val="009E7089"/>
    <w:rsid w:val="009E7542"/>
    <w:rsid w:val="009E7841"/>
    <w:rsid w:val="009E7B9E"/>
    <w:rsid w:val="009E7F31"/>
    <w:rsid w:val="009F18DB"/>
    <w:rsid w:val="009F268D"/>
    <w:rsid w:val="009F28FD"/>
    <w:rsid w:val="009F2E2F"/>
    <w:rsid w:val="009F346F"/>
    <w:rsid w:val="009F3F1E"/>
    <w:rsid w:val="009F4BDB"/>
    <w:rsid w:val="009F532F"/>
    <w:rsid w:val="009F5E4A"/>
    <w:rsid w:val="009F6827"/>
    <w:rsid w:val="009F6ABE"/>
    <w:rsid w:val="009F6BF8"/>
    <w:rsid w:val="00A00A35"/>
    <w:rsid w:val="00A00DD4"/>
    <w:rsid w:val="00A03A5F"/>
    <w:rsid w:val="00A04019"/>
    <w:rsid w:val="00A0417F"/>
    <w:rsid w:val="00A046F7"/>
    <w:rsid w:val="00A0481D"/>
    <w:rsid w:val="00A04F8D"/>
    <w:rsid w:val="00A05738"/>
    <w:rsid w:val="00A05F7A"/>
    <w:rsid w:val="00A0636F"/>
    <w:rsid w:val="00A068D9"/>
    <w:rsid w:val="00A069F7"/>
    <w:rsid w:val="00A06A1C"/>
    <w:rsid w:val="00A07281"/>
    <w:rsid w:val="00A0794A"/>
    <w:rsid w:val="00A07ABD"/>
    <w:rsid w:val="00A07C85"/>
    <w:rsid w:val="00A07CB8"/>
    <w:rsid w:val="00A10107"/>
    <w:rsid w:val="00A10555"/>
    <w:rsid w:val="00A10752"/>
    <w:rsid w:val="00A11538"/>
    <w:rsid w:val="00A11F5A"/>
    <w:rsid w:val="00A12E25"/>
    <w:rsid w:val="00A12E33"/>
    <w:rsid w:val="00A136E5"/>
    <w:rsid w:val="00A15139"/>
    <w:rsid w:val="00A16A27"/>
    <w:rsid w:val="00A16AC1"/>
    <w:rsid w:val="00A16D2C"/>
    <w:rsid w:val="00A2091E"/>
    <w:rsid w:val="00A20DBC"/>
    <w:rsid w:val="00A212DE"/>
    <w:rsid w:val="00A2203E"/>
    <w:rsid w:val="00A2209E"/>
    <w:rsid w:val="00A223B4"/>
    <w:rsid w:val="00A227B6"/>
    <w:rsid w:val="00A227E0"/>
    <w:rsid w:val="00A22B6B"/>
    <w:rsid w:val="00A22C63"/>
    <w:rsid w:val="00A23606"/>
    <w:rsid w:val="00A23718"/>
    <w:rsid w:val="00A23CF3"/>
    <w:rsid w:val="00A24076"/>
    <w:rsid w:val="00A24FDE"/>
    <w:rsid w:val="00A250F6"/>
    <w:rsid w:val="00A26AFB"/>
    <w:rsid w:val="00A27432"/>
    <w:rsid w:val="00A27D7E"/>
    <w:rsid w:val="00A302BF"/>
    <w:rsid w:val="00A302D0"/>
    <w:rsid w:val="00A31709"/>
    <w:rsid w:val="00A31848"/>
    <w:rsid w:val="00A31C26"/>
    <w:rsid w:val="00A3266C"/>
    <w:rsid w:val="00A3289C"/>
    <w:rsid w:val="00A33E21"/>
    <w:rsid w:val="00A34EF1"/>
    <w:rsid w:val="00A362DE"/>
    <w:rsid w:val="00A36922"/>
    <w:rsid w:val="00A36988"/>
    <w:rsid w:val="00A36A79"/>
    <w:rsid w:val="00A375B6"/>
    <w:rsid w:val="00A37BAC"/>
    <w:rsid w:val="00A403C4"/>
    <w:rsid w:val="00A4051E"/>
    <w:rsid w:val="00A41926"/>
    <w:rsid w:val="00A41AC9"/>
    <w:rsid w:val="00A41E2E"/>
    <w:rsid w:val="00A41E78"/>
    <w:rsid w:val="00A41EA0"/>
    <w:rsid w:val="00A4267B"/>
    <w:rsid w:val="00A43582"/>
    <w:rsid w:val="00A439C7"/>
    <w:rsid w:val="00A43DB7"/>
    <w:rsid w:val="00A44310"/>
    <w:rsid w:val="00A44465"/>
    <w:rsid w:val="00A444B0"/>
    <w:rsid w:val="00A44627"/>
    <w:rsid w:val="00A4589C"/>
    <w:rsid w:val="00A46407"/>
    <w:rsid w:val="00A46451"/>
    <w:rsid w:val="00A46B5D"/>
    <w:rsid w:val="00A475CA"/>
    <w:rsid w:val="00A47894"/>
    <w:rsid w:val="00A47AB2"/>
    <w:rsid w:val="00A47C21"/>
    <w:rsid w:val="00A510C2"/>
    <w:rsid w:val="00A51615"/>
    <w:rsid w:val="00A518A3"/>
    <w:rsid w:val="00A519F3"/>
    <w:rsid w:val="00A537CD"/>
    <w:rsid w:val="00A54432"/>
    <w:rsid w:val="00A55417"/>
    <w:rsid w:val="00A558DF"/>
    <w:rsid w:val="00A561F3"/>
    <w:rsid w:val="00A56B06"/>
    <w:rsid w:val="00A56F39"/>
    <w:rsid w:val="00A6096E"/>
    <w:rsid w:val="00A60C59"/>
    <w:rsid w:val="00A60F77"/>
    <w:rsid w:val="00A613E8"/>
    <w:rsid w:val="00A61652"/>
    <w:rsid w:val="00A62446"/>
    <w:rsid w:val="00A63531"/>
    <w:rsid w:val="00A63E65"/>
    <w:rsid w:val="00A64161"/>
    <w:rsid w:val="00A651F6"/>
    <w:rsid w:val="00A65282"/>
    <w:rsid w:val="00A652AA"/>
    <w:rsid w:val="00A65392"/>
    <w:rsid w:val="00A653D4"/>
    <w:rsid w:val="00A66493"/>
    <w:rsid w:val="00A665DD"/>
    <w:rsid w:val="00A70A78"/>
    <w:rsid w:val="00A70A82"/>
    <w:rsid w:val="00A72200"/>
    <w:rsid w:val="00A72276"/>
    <w:rsid w:val="00A72D52"/>
    <w:rsid w:val="00A7355A"/>
    <w:rsid w:val="00A7368E"/>
    <w:rsid w:val="00A73C1D"/>
    <w:rsid w:val="00A7401A"/>
    <w:rsid w:val="00A749F7"/>
    <w:rsid w:val="00A74B7C"/>
    <w:rsid w:val="00A74B7D"/>
    <w:rsid w:val="00A74C9F"/>
    <w:rsid w:val="00A75839"/>
    <w:rsid w:val="00A7631E"/>
    <w:rsid w:val="00A7643E"/>
    <w:rsid w:val="00A76743"/>
    <w:rsid w:val="00A7676B"/>
    <w:rsid w:val="00A76B62"/>
    <w:rsid w:val="00A77C6A"/>
    <w:rsid w:val="00A8097A"/>
    <w:rsid w:val="00A8237E"/>
    <w:rsid w:val="00A829A8"/>
    <w:rsid w:val="00A84874"/>
    <w:rsid w:val="00A848E2"/>
    <w:rsid w:val="00A84A2F"/>
    <w:rsid w:val="00A84B80"/>
    <w:rsid w:val="00A8596C"/>
    <w:rsid w:val="00A865EE"/>
    <w:rsid w:val="00A86881"/>
    <w:rsid w:val="00A86FD1"/>
    <w:rsid w:val="00A875A0"/>
    <w:rsid w:val="00A875EE"/>
    <w:rsid w:val="00A87B5D"/>
    <w:rsid w:val="00A907D8"/>
    <w:rsid w:val="00A91164"/>
    <w:rsid w:val="00A91382"/>
    <w:rsid w:val="00A91E41"/>
    <w:rsid w:val="00A92B56"/>
    <w:rsid w:val="00A93838"/>
    <w:rsid w:val="00A9396F"/>
    <w:rsid w:val="00A93BD3"/>
    <w:rsid w:val="00A94300"/>
    <w:rsid w:val="00A94CCD"/>
    <w:rsid w:val="00A94DF3"/>
    <w:rsid w:val="00A9505D"/>
    <w:rsid w:val="00A95471"/>
    <w:rsid w:val="00A95588"/>
    <w:rsid w:val="00A95E05"/>
    <w:rsid w:val="00A968EC"/>
    <w:rsid w:val="00A97EED"/>
    <w:rsid w:val="00A97EFE"/>
    <w:rsid w:val="00AA05DD"/>
    <w:rsid w:val="00AA0E5B"/>
    <w:rsid w:val="00AA1165"/>
    <w:rsid w:val="00AA123B"/>
    <w:rsid w:val="00AA13F1"/>
    <w:rsid w:val="00AA14A5"/>
    <w:rsid w:val="00AA1846"/>
    <w:rsid w:val="00AA1EE7"/>
    <w:rsid w:val="00AA1F90"/>
    <w:rsid w:val="00AA21AB"/>
    <w:rsid w:val="00AA3D75"/>
    <w:rsid w:val="00AA44E8"/>
    <w:rsid w:val="00AA47FB"/>
    <w:rsid w:val="00AA4D84"/>
    <w:rsid w:val="00AA54B0"/>
    <w:rsid w:val="00AA592E"/>
    <w:rsid w:val="00AA5FF7"/>
    <w:rsid w:val="00AA6619"/>
    <w:rsid w:val="00AA7074"/>
    <w:rsid w:val="00AA7D27"/>
    <w:rsid w:val="00AB10E7"/>
    <w:rsid w:val="00AB1213"/>
    <w:rsid w:val="00AB13E6"/>
    <w:rsid w:val="00AB154F"/>
    <w:rsid w:val="00AB1855"/>
    <w:rsid w:val="00AB2A2C"/>
    <w:rsid w:val="00AB2F95"/>
    <w:rsid w:val="00AB3389"/>
    <w:rsid w:val="00AB3EB0"/>
    <w:rsid w:val="00AB40D9"/>
    <w:rsid w:val="00AB4849"/>
    <w:rsid w:val="00AB5130"/>
    <w:rsid w:val="00AB5B23"/>
    <w:rsid w:val="00AB5DA1"/>
    <w:rsid w:val="00AB5DAA"/>
    <w:rsid w:val="00AB6265"/>
    <w:rsid w:val="00AB725C"/>
    <w:rsid w:val="00AB7B7F"/>
    <w:rsid w:val="00AC007E"/>
    <w:rsid w:val="00AC03A7"/>
    <w:rsid w:val="00AC0AC7"/>
    <w:rsid w:val="00AC0CF4"/>
    <w:rsid w:val="00AC1A74"/>
    <w:rsid w:val="00AC1D5F"/>
    <w:rsid w:val="00AC2670"/>
    <w:rsid w:val="00AC28CE"/>
    <w:rsid w:val="00AC3B30"/>
    <w:rsid w:val="00AC3CC0"/>
    <w:rsid w:val="00AC41C1"/>
    <w:rsid w:val="00AC43D8"/>
    <w:rsid w:val="00AC49E2"/>
    <w:rsid w:val="00AC4ABB"/>
    <w:rsid w:val="00AC5649"/>
    <w:rsid w:val="00AC5F9B"/>
    <w:rsid w:val="00AC5FB3"/>
    <w:rsid w:val="00AC658B"/>
    <w:rsid w:val="00AC6E03"/>
    <w:rsid w:val="00AD0328"/>
    <w:rsid w:val="00AD0749"/>
    <w:rsid w:val="00AD108C"/>
    <w:rsid w:val="00AD1670"/>
    <w:rsid w:val="00AD18D9"/>
    <w:rsid w:val="00AD1C5E"/>
    <w:rsid w:val="00AD2C12"/>
    <w:rsid w:val="00AD37A1"/>
    <w:rsid w:val="00AD3EBD"/>
    <w:rsid w:val="00AD407F"/>
    <w:rsid w:val="00AD4BDA"/>
    <w:rsid w:val="00AD4F70"/>
    <w:rsid w:val="00AD5E0B"/>
    <w:rsid w:val="00AD5F3D"/>
    <w:rsid w:val="00AD627D"/>
    <w:rsid w:val="00AD628E"/>
    <w:rsid w:val="00AD7430"/>
    <w:rsid w:val="00AD783F"/>
    <w:rsid w:val="00AD7BE6"/>
    <w:rsid w:val="00AD7EB6"/>
    <w:rsid w:val="00AE06B8"/>
    <w:rsid w:val="00AE0EE5"/>
    <w:rsid w:val="00AE1692"/>
    <w:rsid w:val="00AE25DC"/>
    <w:rsid w:val="00AE3C2D"/>
    <w:rsid w:val="00AE49B8"/>
    <w:rsid w:val="00AE49E1"/>
    <w:rsid w:val="00AE5039"/>
    <w:rsid w:val="00AE5817"/>
    <w:rsid w:val="00AE5A6C"/>
    <w:rsid w:val="00AE6577"/>
    <w:rsid w:val="00AE6AF6"/>
    <w:rsid w:val="00AE7F07"/>
    <w:rsid w:val="00AF065A"/>
    <w:rsid w:val="00AF0E6E"/>
    <w:rsid w:val="00AF1006"/>
    <w:rsid w:val="00AF13AC"/>
    <w:rsid w:val="00AF16D3"/>
    <w:rsid w:val="00AF1BC4"/>
    <w:rsid w:val="00AF26E4"/>
    <w:rsid w:val="00AF288D"/>
    <w:rsid w:val="00AF28BE"/>
    <w:rsid w:val="00AF2F53"/>
    <w:rsid w:val="00AF3269"/>
    <w:rsid w:val="00AF33AF"/>
    <w:rsid w:val="00AF3591"/>
    <w:rsid w:val="00AF35A2"/>
    <w:rsid w:val="00AF394B"/>
    <w:rsid w:val="00AF3A69"/>
    <w:rsid w:val="00AF401F"/>
    <w:rsid w:val="00AF5C36"/>
    <w:rsid w:val="00AF61AC"/>
    <w:rsid w:val="00AF71BC"/>
    <w:rsid w:val="00AF7C98"/>
    <w:rsid w:val="00B00012"/>
    <w:rsid w:val="00B00A52"/>
    <w:rsid w:val="00B00FD6"/>
    <w:rsid w:val="00B016CE"/>
    <w:rsid w:val="00B01827"/>
    <w:rsid w:val="00B01C1D"/>
    <w:rsid w:val="00B02098"/>
    <w:rsid w:val="00B0281F"/>
    <w:rsid w:val="00B03090"/>
    <w:rsid w:val="00B0488D"/>
    <w:rsid w:val="00B0564D"/>
    <w:rsid w:val="00B0565B"/>
    <w:rsid w:val="00B05D39"/>
    <w:rsid w:val="00B067FA"/>
    <w:rsid w:val="00B06D9A"/>
    <w:rsid w:val="00B06FD1"/>
    <w:rsid w:val="00B0738C"/>
    <w:rsid w:val="00B077DB"/>
    <w:rsid w:val="00B07B23"/>
    <w:rsid w:val="00B07C32"/>
    <w:rsid w:val="00B101A6"/>
    <w:rsid w:val="00B10A1A"/>
    <w:rsid w:val="00B118C9"/>
    <w:rsid w:val="00B11E4B"/>
    <w:rsid w:val="00B11E52"/>
    <w:rsid w:val="00B121C5"/>
    <w:rsid w:val="00B1273E"/>
    <w:rsid w:val="00B13173"/>
    <w:rsid w:val="00B131D5"/>
    <w:rsid w:val="00B131FC"/>
    <w:rsid w:val="00B13591"/>
    <w:rsid w:val="00B1361A"/>
    <w:rsid w:val="00B139E2"/>
    <w:rsid w:val="00B13E88"/>
    <w:rsid w:val="00B141F2"/>
    <w:rsid w:val="00B15150"/>
    <w:rsid w:val="00B15D10"/>
    <w:rsid w:val="00B15F96"/>
    <w:rsid w:val="00B16179"/>
    <w:rsid w:val="00B16BBC"/>
    <w:rsid w:val="00B17BD2"/>
    <w:rsid w:val="00B17F3A"/>
    <w:rsid w:val="00B17FAE"/>
    <w:rsid w:val="00B20861"/>
    <w:rsid w:val="00B20906"/>
    <w:rsid w:val="00B21162"/>
    <w:rsid w:val="00B21365"/>
    <w:rsid w:val="00B216B0"/>
    <w:rsid w:val="00B23305"/>
    <w:rsid w:val="00B23BBC"/>
    <w:rsid w:val="00B24742"/>
    <w:rsid w:val="00B24BAA"/>
    <w:rsid w:val="00B2546A"/>
    <w:rsid w:val="00B26377"/>
    <w:rsid w:val="00B26791"/>
    <w:rsid w:val="00B26BE2"/>
    <w:rsid w:val="00B279E7"/>
    <w:rsid w:val="00B3025F"/>
    <w:rsid w:val="00B309D7"/>
    <w:rsid w:val="00B30EBE"/>
    <w:rsid w:val="00B31057"/>
    <w:rsid w:val="00B31133"/>
    <w:rsid w:val="00B31D61"/>
    <w:rsid w:val="00B31FE2"/>
    <w:rsid w:val="00B320F5"/>
    <w:rsid w:val="00B32250"/>
    <w:rsid w:val="00B32685"/>
    <w:rsid w:val="00B32814"/>
    <w:rsid w:val="00B32D75"/>
    <w:rsid w:val="00B33DA4"/>
    <w:rsid w:val="00B34152"/>
    <w:rsid w:val="00B34931"/>
    <w:rsid w:val="00B34EED"/>
    <w:rsid w:val="00B35235"/>
    <w:rsid w:val="00B356B0"/>
    <w:rsid w:val="00B35F0A"/>
    <w:rsid w:val="00B36610"/>
    <w:rsid w:val="00B370E3"/>
    <w:rsid w:val="00B37A2C"/>
    <w:rsid w:val="00B37E13"/>
    <w:rsid w:val="00B40983"/>
    <w:rsid w:val="00B40BDC"/>
    <w:rsid w:val="00B40C44"/>
    <w:rsid w:val="00B411E4"/>
    <w:rsid w:val="00B418A7"/>
    <w:rsid w:val="00B41991"/>
    <w:rsid w:val="00B41E23"/>
    <w:rsid w:val="00B42001"/>
    <w:rsid w:val="00B42413"/>
    <w:rsid w:val="00B425E3"/>
    <w:rsid w:val="00B42E0C"/>
    <w:rsid w:val="00B42EE7"/>
    <w:rsid w:val="00B4304D"/>
    <w:rsid w:val="00B431BA"/>
    <w:rsid w:val="00B43223"/>
    <w:rsid w:val="00B457DE"/>
    <w:rsid w:val="00B46C96"/>
    <w:rsid w:val="00B46FEB"/>
    <w:rsid w:val="00B47195"/>
    <w:rsid w:val="00B4739F"/>
    <w:rsid w:val="00B47575"/>
    <w:rsid w:val="00B47587"/>
    <w:rsid w:val="00B478AA"/>
    <w:rsid w:val="00B501B2"/>
    <w:rsid w:val="00B50342"/>
    <w:rsid w:val="00B5088A"/>
    <w:rsid w:val="00B50BB1"/>
    <w:rsid w:val="00B51DC9"/>
    <w:rsid w:val="00B5221B"/>
    <w:rsid w:val="00B522A0"/>
    <w:rsid w:val="00B52437"/>
    <w:rsid w:val="00B52A0C"/>
    <w:rsid w:val="00B52DF2"/>
    <w:rsid w:val="00B52EAA"/>
    <w:rsid w:val="00B52FCF"/>
    <w:rsid w:val="00B53016"/>
    <w:rsid w:val="00B5328E"/>
    <w:rsid w:val="00B53716"/>
    <w:rsid w:val="00B53B95"/>
    <w:rsid w:val="00B53CA7"/>
    <w:rsid w:val="00B5480D"/>
    <w:rsid w:val="00B55314"/>
    <w:rsid w:val="00B553AF"/>
    <w:rsid w:val="00B55757"/>
    <w:rsid w:val="00B56AFF"/>
    <w:rsid w:val="00B56B9D"/>
    <w:rsid w:val="00B56F36"/>
    <w:rsid w:val="00B60C32"/>
    <w:rsid w:val="00B60FD1"/>
    <w:rsid w:val="00B61E56"/>
    <w:rsid w:val="00B629E3"/>
    <w:rsid w:val="00B6313A"/>
    <w:rsid w:val="00B638EE"/>
    <w:rsid w:val="00B646BA"/>
    <w:rsid w:val="00B64C13"/>
    <w:rsid w:val="00B64E6B"/>
    <w:rsid w:val="00B66DEB"/>
    <w:rsid w:val="00B66F90"/>
    <w:rsid w:val="00B67771"/>
    <w:rsid w:val="00B70286"/>
    <w:rsid w:val="00B70384"/>
    <w:rsid w:val="00B70B8C"/>
    <w:rsid w:val="00B70D0B"/>
    <w:rsid w:val="00B70F59"/>
    <w:rsid w:val="00B728B5"/>
    <w:rsid w:val="00B73337"/>
    <w:rsid w:val="00B7341F"/>
    <w:rsid w:val="00B73DE4"/>
    <w:rsid w:val="00B759C8"/>
    <w:rsid w:val="00B75C28"/>
    <w:rsid w:val="00B75E57"/>
    <w:rsid w:val="00B7615C"/>
    <w:rsid w:val="00B761AA"/>
    <w:rsid w:val="00B76655"/>
    <w:rsid w:val="00B76703"/>
    <w:rsid w:val="00B7727F"/>
    <w:rsid w:val="00B7748E"/>
    <w:rsid w:val="00B77ABB"/>
    <w:rsid w:val="00B800EF"/>
    <w:rsid w:val="00B80687"/>
    <w:rsid w:val="00B81288"/>
    <w:rsid w:val="00B819CD"/>
    <w:rsid w:val="00B822D2"/>
    <w:rsid w:val="00B8315C"/>
    <w:rsid w:val="00B836BE"/>
    <w:rsid w:val="00B83858"/>
    <w:rsid w:val="00B83862"/>
    <w:rsid w:val="00B83DB0"/>
    <w:rsid w:val="00B84BC7"/>
    <w:rsid w:val="00B84CED"/>
    <w:rsid w:val="00B84E7C"/>
    <w:rsid w:val="00B858B3"/>
    <w:rsid w:val="00B85F6F"/>
    <w:rsid w:val="00B8655E"/>
    <w:rsid w:val="00B86BE7"/>
    <w:rsid w:val="00B8755A"/>
    <w:rsid w:val="00B87635"/>
    <w:rsid w:val="00B877EC"/>
    <w:rsid w:val="00B87C15"/>
    <w:rsid w:val="00B902EF"/>
    <w:rsid w:val="00B9064A"/>
    <w:rsid w:val="00B9133D"/>
    <w:rsid w:val="00B91E8D"/>
    <w:rsid w:val="00B920DB"/>
    <w:rsid w:val="00B933D7"/>
    <w:rsid w:val="00B9375E"/>
    <w:rsid w:val="00B93A01"/>
    <w:rsid w:val="00B940AA"/>
    <w:rsid w:val="00B940E5"/>
    <w:rsid w:val="00B957D2"/>
    <w:rsid w:val="00B95E89"/>
    <w:rsid w:val="00B95F0E"/>
    <w:rsid w:val="00B9644F"/>
    <w:rsid w:val="00B971D3"/>
    <w:rsid w:val="00B97226"/>
    <w:rsid w:val="00BA15A8"/>
    <w:rsid w:val="00BA182A"/>
    <w:rsid w:val="00BA185B"/>
    <w:rsid w:val="00BA1DCB"/>
    <w:rsid w:val="00BA21E8"/>
    <w:rsid w:val="00BA2B1D"/>
    <w:rsid w:val="00BA364A"/>
    <w:rsid w:val="00BA3FFE"/>
    <w:rsid w:val="00BA4374"/>
    <w:rsid w:val="00BA46D1"/>
    <w:rsid w:val="00BA4AA9"/>
    <w:rsid w:val="00BA4E07"/>
    <w:rsid w:val="00BA5751"/>
    <w:rsid w:val="00BA6CD4"/>
    <w:rsid w:val="00BA6F2E"/>
    <w:rsid w:val="00BA7475"/>
    <w:rsid w:val="00BB2981"/>
    <w:rsid w:val="00BB322F"/>
    <w:rsid w:val="00BB3336"/>
    <w:rsid w:val="00BB33B6"/>
    <w:rsid w:val="00BB3B99"/>
    <w:rsid w:val="00BB460F"/>
    <w:rsid w:val="00BB4C01"/>
    <w:rsid w:val="00BB68E2"/>
    <w:rsid w:val="00BB7641"/>
    <w:rsid w:val="00BC0356"/>
    <w:rsid w:val="00BC061C"/>
    <w:rsid w:val="00BC0B6F"/>
    <w:rsid w:val="00BC1109"/>
    <w:rsid w:val="00BC2B76"/>
    <w:rsid w:val="00BC2EC9"/>
    <w:rsid w:val="00BC3E22"/>
    <w:rsid w:val="00BC3E99"/>
    <w:rsid w:val="00BC6505"/>
    <w:rsid w:val="00BC68AD"/>
    <w:rsid w:val="00BC71DB"/>
    <w:rsid w:val="00BC72D5"/>
    <w:rsid w:val="00BD0322"/>
    <w:rsid w:val="00BD254A"/>
    <w:rsid w:val="00BD2C23"/>
    <w:rsid w:val="00BD2CFF"/>
    <w:rsid w:val="00BD2D4D"/>
    <w:rsid w:val="00BD3339"/>
    <w:rsid w:val="00BD3534"/>
    <w:rsid w:val="00BD397D"/>
    <w:rsid w:val="00BD43AF"/>
    <w:rsid w:val="00BD4917"/>
    <w:rsid w:val="00BD52FF"/>
    <w:rsid w:val="00BD5C58"/>
    <w:rsid w:val="00BD5D83"/>
    <w:rsid w:val="00BD5FF8"/>
    <w:rsid w:val="00BD652D"/>
    <w:rsid w:val="00BD65E3"/>
    <w:rsid w:val="00BD6730"/>
    <w:rsid w:val="00BD69A1"/>
    <w:rsid w:val="00BE0196"/>
    <w:rsid w:val="00BE020E"/>
    <w:rsid w:val="00BE10E0"/>
    <w:rsid w:val="00BE1384"/>
    <w:rsid w:val="00BE16D6"/>
    <w:rsid w:val="00BE1842"/>
    <w:rsid w:val="00BE22F8"/>
    <w:rsid w:val="00BE267F"/>
    <w:rsid w:val="00BE28C7"/>
    <w:rsid w:val="00BE539A"/>
    <w:rsid w:val="00BE576D"/>
    <w:rsid w:val="00BE5841"/>
    <w:rsid w:val="00BE607B"/>
    <w:rsid w:val="00BE6112"/>
    <w:rsid w:val="00BE64F9"/>
    <w:rsid w:val="00BE77AC"/>
    <w:rsid w:val="00BF063A"/>
    <w:rsid w:val="00BF07CE"/>
    <w:rsid w:val="00BF0857"/>
    <w:rsid w:val="00BF0973"/>
    <w:rsid w:val="00BF0A70"/>
    <w:rsid w:val="00BF10EE"/>
    <w:rsid w:val="00BF1670"/>
    <w:rsid w:val="00BF1A17"/>
    <w:rsid w:val="00BF23EC"/>
    <w:rsid w:val="00BF2667"/>
    <w:rsid w:val="00BF26F3"/>
    <w:rsid w:val="00BF2C32"/>
    <w:rsid w:val="00BF2E6B"/>
    <w:rsid w:val="00BF36F3"/>
    <w:rsid w:val="00BF373F"/>
    <w:rsid w:val="00BF3D5C"/>
    <w:rsid w:val="00BF4326"/>
    <w:rsid w:val="00BF480A"/>
    <w:rsid w:val="00BF56F8"/>
    <w:rsid w:val="00BF5A7B"/>
    <w:rsid w:val="00BF62B2"/>
    <w:rsid w:val="00BF7B23"/>
    <w:rsid w:val="00BF7BBC"/>
    <w:rsid w:val="00C009FB"/>
    <w:rsid w:val="00C00B78"/>
    <w:rsid w:val="00C00BF3"/>
    <w:rsid w:val="00C01261"/>
    <w:rsid w:val="00C01AE4"/>
    <w:rsid w:val="00C02749"/>
    <w:rsid w:val="00C02B4B"/>
    <w:rsid w:val="00C02BCD"/>
    <w:rsid w:val="00C02C6E"/>
    <w:rsid w:val="00C02CB4"/>
    <w:rsid w:val="00C031D8"/>
    <w:rsid w:val="00C0361B"/>
    <w:rsid w:val="00C03B3A"/>
    <w:rsid w:val="00C04914"/>
    <w:rsid w:val="00C04A59"/>
    <w:rsid w:val="00C04F15"/>
    <w:rsid w:val="00C05CC2"/>
    <w:rsid w:val="00C060D6"/>
    <w:rsid w:val="00C06714"/>
    <w:rsid w:val="00C07C53"/>
    <w:rsid w:val="00C10813"/>
    <w:rsid w:val="00C10FC7"/>
    <w:rsid w:val="00C112E8"/>
    <w:rsid w:val="00C12411"/>
    <w:rsid w:val="00C129F7"/>
    <w:rsid w:val="00C12AC8"/>
    <w:rsid w:val="00C12D40"/>
    <w:rsid w:val="00C13790"/>
    <w:rsid w:val="00C13901"/>
    <w:rsid w:val="00C13F74"/>
    <w:rsid w:val="00C141E1"/>
    <w:rsid w:val="00C14339"/>
    <w:rsid w:val="00C14A2A"/>
    <w:rsid w:val="00C14A68"/>
    <w:rsid w:val="00C15212"/>
    <w:rsid w:val="00C16267"/>
    <w:rsid w:val="00C17366"/>
    <w:rsid w:val="00C17408"/>
    <w:rsid w:val="00C1752D"/>
    <w:rsid w:val="00C17F13"/>
    <w:rsid w:val="00C2058D"/>
    <w:rsid w:val="00C2095D"/>
    <w:rsid w:val="00C22B82"/>
    <w:rsid w:val="00C23215"/>
    <w:rsid w:val="00C242B1"/>
    <w:rsid w:val="00C24512"/>
    <w:rsid w:val="00C253BD"/>
    <w:rsid w:val="00C266C7"/>
    <w:rsid w:val="00C26A51"/>
    <w:rsid w:val="00C27661"/>
    <w:rsid w:val="00C308D7"/>
    <w:rsid w:val="00C30933"/>
    <w:rsid w:val="00C31587"/>
    <w:rsid w:val="00C31AB2"/>
    <w:rsid w:val="00C31E33"/>
    <w:rsid w:val="00C32821"/>
    <w:rsid w:val="00C332C1"/>
    <w:rsid w:val="00C33325"/>
    <w:rsid w:val="00C3396C"/>
    <w:rsid w:val="00C33AFC"/>
    <w:rsid w:val="00C33D47"/>
    <w:rsid w:val="00C34778"/>
    <w:rsid w:val="00C34E74"/>
    <w:rsid w:val="00C3504B"/>
    <w:rsid w:val="00C351C4"/>
    <w:rsid w:val="00C35851"/>
    <w:rsid w:val="00C359F7"/>
    <w:rsid w:val="00C36B56"/>
    <w:rsid w:val="00C36DAB"/>
    <w:rsid w:val="00C36DBB"/>
    <w:rsid w:val="00C37AC8"/>
    <w:rsid w:val="00C37DBA"/>
    <w:rsid w:val="00C40814"/>
    <w:rsid w:val="00C40CDA"/>
    <w:rsid w:val="00C41246"/>
    <w:rsid w:val="00C41432"/>
    <w:rsid w:val="00C414E4"/>
    <w:rsid w:val="00C419D8"/>
    <w:rsid w:val="00C421DD"/>
    <w:rsid w:val="00C42568"/>
    <w:rsid w:val="00C429B6"/>
    <w:rsid w:val="00C42D5A"/>
    <w:rsid w:val="00C43688"/>
    <w:rsid w:val="00C44218"/>
    <w:rsid w:val="00C45136"/>
    <w:rsid w:val="00C451C1"/>
    <w:rsid w:val="00C45B6E"/>
    <w:rsid w:val="00C4601F"/>
    <w:rsid w:val="00C50123"/>
    <w:rsid w:val="00C50AA8"/>
    <w:rsid w:val="00C51521"/>
    <w:rsid w:val="00C523CA"/>
    <w:rsid w:val="00C52A81"/>
    <w:rsid w:val="00C52F68"/>
    <w:rsid w:val="00C53706"/>
    <w:rsid w:val="00C55511"/>
    <w:rsid w:val="00C5646C"/>
    <w:rsid w:val="00C56691"/>
    <w:rsid w:val="00C56BE9"/>
    <w:rsid w:val="00C56CC4"/>
    <w:rsid w:val="00C57CE8"/>
    <w:rsid w:val="00C57E46"/>
    <w:rsid w:val="00C60F8D"/>
    <w:rsid w:val="00C611FC"/>
    <w:rsid w:val="00C614B7"/>
    <w:rsid w:val="00C61898"/>
    <w:rsid w:val="00C6198B"/>
    <w:rsid w:val="00C61B3C"/>
    <w:rsid w:val="00C61C4F"/>
    <w:rsid w:val="00C61DFB"/>
    <w:rsid w:val="00C626C5"/>
    <w:rsid w:val="00C628FA"/>
    <w:rsid w:val="00C62EAA"/>
    <w:rsid w:val="00C633C5"/>
    <w:rsid w:val="00C63417"/>
    <w:rsid w:val="00C63A95"/>
    <w:rsid w:val="00C64786"/>
    <w:rsid w:val="00C6574D"/>
    <w:rsid w:val="00C65A0C"/>
    <w:rsid w:val="00C662A3"/>
    <w:rsid w:val="00C66302"/>
    <w:rsid w:val="00C66730"/>
    <w:rsid w:val="00C6679D"/>
    <w:rsid w:val="00C66826"/>
    <w:rsid w:val="00C669E7"/>
    <w:rsid w:val="00C67F98"/>
    <w:rsid w:val="00C70D46"/>
    <w:rsid w:val="00C728AE"/>
    <w:rsid w:val="00C73010"/>
    <w:rsid w:val="00C73490"/>
    <w:rsid w:val="00C74B64"/>
    <w:rsid w:val="00C764EA"/>
    <w:rsid w:val="00C76A20"/>
    <w:rsid w:val="00C76A36"/>
    <w:rsid w:val="00C77595"/>
    <w:rsid w:val="00C77977"/>
    <w:rsid w:val="00C800E0"/>
    <w:rsid w:val="00C803D8"/>
    <w:rsid w:val="00C80B34"/>
    <w:rsid w:val="00C80CA5"/>
    <w:rsid w:val="00C8115E"/>
    <w:rsid w:val="00C811CC"/>
    <w:rsid w:val="00C81338"/>
    <w:rsid w:val="00C8195D"/>
    <w:rsid w:val="00C81A02"/>
    <w:rsid w:val="00C81EA7"/>
    <w:rsid w:val="00C824AF"/>
    <w:rsid w:val="00C82765"/>
    <w:rsid w:val="00C82838"/>
    <w:rsid w:val="00C83030"/>
    <w:rsid w:val="00C830E6"/>
    <w:rsid w:val="00C83F31"/>
    <w:rsid w:val="00C84AE5"/>
    <w:rsid w:val="00C84FFE"/>
    <w:rsid w:val="00C85131"/>
    <w:rsid w:val="00C851BA"/>
    <w:rsid w:val="00C855C6"/>
    <w:rsid w:val="00C856D3"/>
    <w:rsid w:val="00C85ACC"/>
    <w:rsid w:val="00C85C73"/>
    <w:rsid w:val="00C86B9B"/>
    <w:rsid w:val="00C87683"/>
    <w:rsid w:val="00C878CF"/>
    <w:rsid w:val="00C87AE4"/>
    <w:rsid w:val="00C90D2A"/>
    <w:rsid w:val="00C9131E"/>
    <w:rsid w:val="00C91717"/>
    <w:rsid w:val="00C918F4"/>
    <w:rsid w:val="00C928F5"/>
    <w:rsid w:val="00C932D0"/>
    <w:rsid w:val="00C93448"/>
    <w:rsid w:val="00C95E08"/>
    <w:rsid w:val="00C96C8E"/>
    <w:rsid w:val="00C96D05"/>
    <w:rsid w:val="00C97C39"/>
    <w:rsid w:val="00CA19B6"/>
    <w:rsid w:val="00CA2C11"/>
    <w:rsid w:val="00CA2D96"/>
    <w:rsid w:val="00CA2F2E"/>
    <w:rsid w:val="00CA4426"/>
    <w:rsid w:val="00CA4B7C"/>
    <w:rsid w:val="00CA4D78"/>
    <w:rsid w:val="00CA528C"/>
    <w:rsid w:val="00CA5810"/>
    <w:rsid w:val="00CA5FCA"/>
    <w:rsid w:val="00CA64D4"/>
    <w:rsid w:val="00CA6F5D"/>
    <w:rsid w:val="00CA768E"/>
    <w:rsid w:val="00CB030C"/>
    <w:rsid w:val="00CB155E"/>
    <w:rsid w:val="00CB19CE"/>
    <w:rsid w:val="00CB2769"/>
    <w:rsid w:val="00CB285C"/>
    <w:rsid w:val="00CB2B5C"/>
    <w:rsid w:val="00CB2C96"/>
    <w:rsid w:val="00CB4746"/>
    <w:rsid w:val="00CB5D7E"/>
    <w:rsid w:val="00CB6035"/>
    <w:rsid w:val="00CB60C9"/>
    <w:rsid w:val="00CB6212"/>
    <w:rsid w:val="00CB7452"/>
    <w:rsid w:val="00CC01F2"/>
    <w:rsid w:val="00CC0418"/>
    <w:rsid w:val="00CC08E1"/>
    <w:rsid w:val="00CC1482"/>
    <w:rsid w:val="00CC14BA"/>
    <w:rsid w:val="00CC1974"/>
    <w:rsid w:val="00CC19D9"/>
    <w:rsid w:val="00CC1BC8"/>
    <w:rsid w:val="00CC1C57"/>
    <w:rsid w:val="00CC1D14"/>
    <w:rsid w:val="00CC20FB"/>
    <w:rsid w:val="00CC25AF"/>
    <w:rsid w:val="00CC2871"/>
    <w:rsid w:val="00CC2B8F"/>
    <w:rsid w:val="00CC2D27"/>
    <w:rsid w:val="00CC3BA4"/>
    <w:rsid w:val="00CC3EE7"/>
    <w:rsid w:val="00CC413A"/>
    <w:rsid w:val="00CC43E1"/>
    <w:rsid w:val="00CC4F5D"/>
    <w:rsid w:val="00CC5ACF"/>
    <w:rsid w:val="00CC612F"/>
    <w:rsid w:val="00CC66D1"/>
    <w:rsid w:val="00CC67EF"/>
    <w:rsid w:val="00CC6923"/>
    <w:rsid w:val="00CC704A"/>
    <w:rsid w:val="00CC7669"/>
    <w:rsid w:val="00CC7B10"/>
    <w:rsid w:val="00CD03A6"/>
    <w:rsid w:val="00CD0F54"/>
    <w:rsid w:val="00CD135F"/>
    <w:rsid w:val="00CD1439"/>
    <w:rsid w:val="00CD164D"/>
    <w:rsid w:val="00CD1A0A"/>
    <w:rsid w:val="00CD1C11"/>
    <w:rsid w:val="00CD2447"/>
    <w:rsid w:val="00CD38D0"/>
    <w:rsid w:val="00CD3C4A"/>
    <w:rsid w:val="00CD508B"/>
    <w:rsid w:val="00CD5D45"/>
    <w:rsid w:val="00CD6E9A"/>
    <w:rsid w:val="00CD7BDA"/>
    <w:rsid w:val="00CE06FF"/>
    <w:rsid w:val="00CE07F0"/>
    <w:rsid w:val="00CE0858"/>
    <w:rsid w:val="00CE0A40"/>
    <w:rsid w:val="00CE1C32"/>
    <w:rsid w:val="00CE2C36"/>
    <w:rsid w:val="00CE2F27"/>
    <w:rsid w:val="00CE3AAD"/>
    <w:rsid w:val="00CE3B9F"/>
    <w:rsid w:val="00CE4A26"/>
    <w:rsid w:val="00CE53BC"/>
    <w:rsid w:val="00CE6037"/>
    <w:rsid w:val="00CE72FE"/>
    <w:rsid w:val="00CE79BD"/>
    <w:rsid w:val="00CF055D"/>
    <w:rsid w:val="00CF07F1"/>
    <w:rsid w:val="00CF0BC9"/>
    <w:rsid w:val="00CF19E0"/>
    <w:rsid w:val="00CF294B"/>
    <w:rsid w:val="00CF2C52"/>
    <w:rsid w:val="00CF2F18"/>
    <w:rsid w:val="00CF4341"/>
    <w:rsid w:val="00CF4B3F"/>
    <w:rsid w:val="00CF5261"/>
    <w:rsid w:val="00CF52B3"/>
    <w:rsid w:val="00CF59E1"/>
    <w:rsid w:val="00CF5BD4"/>
    <w:rsid w:val="00CF6167"/>
    <w:rsid w:val="00CF6B1F"/>
    <w:rsid w:val="00CF7896"/>
    <w:rsid w:val="00D000AA"/>
    <w:rsid w:val="00D0071F"/>
    <w:rsid w:val="00D00E71"/>
    <w:rsid w:val="00D01ECF"/>
    <w:rsid w:val="00D021A4"/>
    <w:rsid w:val="00D02965"/>
    <w:rsid w:val="00D03BD1"/>
    <w:rsid w:val="00D04478"/>
    <w:rsid w:val="00D046DA"/>
    <w:rsid w:val="00D048B2"/>
    <w:rsid w:val="00D04940"/>
    <w:rsid w:val="00D05D30"/>
    <w:rsid w:val="00D05DD3"/>
    <w:rsid w:val="00D063CE"/>
    <w:rsid w:val="00D066EB"/>
    <w:rsid w:val="00D06CDD"/>
    <w:rsid w:val="00D06F45"/>
    <w:rsid w:val="00D07021"/>
    <w:rsid w:val="00D07745"/>
    <w:rsid w:val="00D103AB"/>
    <w:rsid w:val="00D11030"/>
    <w:rsid w:val="00D115F7"/>
    <w:rsid w:val="00D11912"/>
    <w:rsid w:val="00D11BFB"/>
    <w:rsid w:val="00D128C8"/>
    <w:rsid w:val="00D12966"/>
    <w:rsid w:val="00D12CF2"/>
    <w:rsid w:val="00D12DD6"/>
    <w:rsid w:val="00D1363B"/>
    <w:rsid w:val="00D13DCE"/>
    <w:rsid w:val="00D145D6"/>
    <w:rsid w:val="00D148B7"/>
    <w:rsid w:val="00D14B24"/>
    <w:rsid w:val="00D14DDA"/>
    <w:rsid w:val="00D152E4"/>
    <w:rsid w:val="00D15DFB"/>
    <w:rsid w:val="00D17508"/>
    <w:rsid w:val="00D17DF3"/>
    <w:rsid w:val="00D20676"/>
    <w:rsid w:val="00D20C5A"/>
    <w:rsid w:val="00D20EBE"/>
    <w:rsid w:val="00D20F3F"/>
    <w:rsid w:val="00D2126A"/>
    <w:rsid w:val="00D2143A"/>
    <w:rsid w:val="00D219B7"/>
    <w:rsid w:val="00D22F64"/>
    <w:rsid w:val="00D2304C"/>
    <w:rsid w:val="00D23E98"/>
    <w:rsid w:val="00D2421B"/>
    <w:rsid w:val="00D2556C"/>
    <w:rsid w:val="00D25D1B"/>
    <w:rsid w:val="00D25F88"/>
    <w:rsid w:val="00D26A38"/>
    <w:rsid w:val="00D26BEF"/>
    <w:rsid w:val="00D276DE"/>
    <w:rsid w:val="00D27A96"/>
    <w:rsid w:val="00D3031B"/>
    <w:rsid w:val="00D309B9"/>
    <w:rsid w:val="00D3127B"/>
    <w:rsid w:val="00D31997"/>
    <w:rsid w:val="00D31D80"/>
    <w:rsid w:val="00D3287A"/>
    <w:rsid w:val="00D32E9B"/>
    <w:rsid w:val="00D32FA9"/>
    <w:rsid w:val="00D3384C"/>
    <w:rsid w:val="00D33996"/>
    <w:rsid w:val="00D33B94"/>
    <w:rsid w:val="00D34646"/>
    <w:rsid w:val="00D34820"/>
    <w:rsid w:val="00D34CAC"/>
    <w:rsid w:val="00D35F28"/>
    <w:rsid w:val="00D36BF5"/>
    <w:rsid w:val="00D370A3"/>
    <w:rsid w:val="00D378B5"/>
    <w:rsid w:val="00D40000"/>
    <w:rsid w:val="00D410DA"/>
    <w:rsid w:val="00D411A2"/>
    <w:rsid w:val="00D42220"/>
    <w:rsid w:val="00D42985"/>
    <w:rsid w:val="00D430E0"/>
    <w:rsid w:val="00D43F11"/>
    <w:rsid w:val="00D43FB1"/>
    <w:rsid w:val="00D44BCC"/>
    <w:rsid w:val="00D4530F"/>
    <w:rsid w:val="00D45350"/>
    <w:rsid w:val="00D4614C"/>
    <w:rsid w:val="00D4669E"/>
    <w:rsid w:val="00D468D0"/>
    <w:rsid w:val="00D4745B"/>
    <w:rsid w:val="00D47BE8"/>
    <w:rsid w:val="00D50265"/>
    <w:rsid w:val="00D506F6"/>
    <w:rsid w:val="00D50D3E"/>
    <w:rsid w:val="00D5138A"/>
    <w:rsid w:val="00D51E01"/>
    <w:rsid w:val="00D51FAE"/>
    <w:rsid w:val="00D52559"/>
    <w:rsid w:val="00D52D37"/>
    <w:rsid w:val="00D52D96"/>
    <w:rsid w:val="00D530EC"/>
    <w:rsid w:val="00D5372E"/>
    <w:rsid w:val="00D53C88"/>
    <w:rsid w:val="00D55302"/>
    <w:rsid w:val="00D55715"/>
    <w:rsid w:val="00D55C3F"/>
    <w:rsid w:val="00D5694C"/>
    <w:rsid w:val="00D56B70"/>
    <w:rsid w:val="00D57414"/>
    <w:rsid w:val="00D57C7D"/>
    <w:rsid w:val="00D60936"/>
    <w:rsid w:val="00D60C48"/>
    <w:rsid w:val="00D61A34"/>
    <w:rsid w:val="00D61E42"/>
    <w:rsid w:val="00D61F8A"/>
    <w:rsid w:val="00D63722"/>
    <w:rsid w:val="00D63DB1"/>
    <w:rsid w:val="00D64976"/>
    <w:rsid w:val="00D64DC7"/>
    <w:rsid w:val="00D64E53"/>
    <w:rsid w:val="00D65DAC"/>
    <w:rsid w:val="00D65FCD"/>
    <w:rsid w:val="00D664C7"/>
    <w:rsid w:val="00D664C9"/>
    <w:rsid w:val="00D665AD"/>
    <w:rsid w:val="00D66720"/>
    <w:rsid w:val="00D6716B"/>
    <w:rsid w:val="00D676E6"/>
    <w:rsid w:val="00D67864"/>
    <w:rsid w:val="00D67DA4"/>
    <w:rsid w:val="00D701E9"/>
    <w:rsid w:val="00D7038E"/>
    <w:rsid w:val="00D705BE"/>
    <w:rsid w:val="00D71908"/>
    <w:rsid w:val="00D71EA2"/>
    <w:rsid w:val="00D72613"/>
    <w:rsid w:val="00D72D9D"/>
    <w:rsid w:val="00D732BE"/>
    <w:rsid w:val="00D7488C"/>
    <w:rsid w:val="00D7561B"/>
    <w:rsid w:val="00D75720"/>
    <w:rsid w:val="00D75E77"/>
    <w:rsid w:val="00D764B1"/>
    <w:rsid w:val="00D765AF"/>
    <w:rsid w:val="00D7725E"/>
    <w:rsid w:val="00D777DF"/>
    <w:rsid w:val="00D77C7B"/>
    <w:rsid w:val="00D77CCD"/>
    <w:rsid w:val="00D803B2"/>
    <w:rsid w:val="00D81AF7"/>
    <w:rsid w:val="00D81D01"/>
    <w:rsid w:val="00D81D5B"/>
    <w:rsid w:val="00D8294D"/>
    <w:rsid w:val="00D82CA6"/>
    <w:rsid w:val="00D82D40"/>
    <w:rsid w:val="00D83032"/>
    <w:rsid w:val="00D83B9D"/>
    <w:rsid w:val="00D85A6D"/>
    <w:rsid w:val="00D85B39"/>
    <w:rsid w:val="00D8633E"/>
    <w:rsid w:val="00D865D3"/>
    <w:rsid w:val="00D8674F"/>
    <w:rsid w:val="00D86E7B"/>
    <w:rsid w:val="00D870EE"/>
    <w:rsid w:val="00D87208"/>
    <w:rsid w:val="00D87456"/>
    <w:rsid w:val="00D912D4"/>
    <w:rsid w:val="00D923FF"/>
    <w:rsid w:val="00D924DE"/>
    <w:rsid w:val="00D92587"/>
    <w:rsid w:val="00D92A6D"/>
    <w:rsid w:val="00D9337C"/>
    <w:rsid w:val="00D93E20"/>
    <w:rsid w:val="00D93EA3"/>
    <w:rsid w:val="00D94239"/>
    <w:rsid w:val="00D945C2"/>
    <w:rsid w:val="00D95779"/>
    <w:rsid w:val="00D95A17"/>
    <w:rsid w:val="00D95F16"/>
    <w:rsid w:val="00D9657F"/>
    <w:rsid w:val="00DA0031"/>
    <w:rsid w:val="00DA07B6"/>
    <w:rsid w:val="00DA0D29"/>
    <w:rsid w:val="00DA1424"/>
    <w:rsid w:val="00DA1869"/>
    <w:rsid w:val="00DA1C68"/>
    <w:rsid w:val="00DA1C6A"/>
    <w:rsid w:val="00DA1E78"/>
    <w:rsid w:val="00DA1EF7"/>
    <w:rsid w:val="00DA2177"/>
    <w:rsid w:val="00DA33A6"/>
    <w:rsid w:val="00DA362A"/>
    <w:rsid w:val="00DA3EC7"/>
    <w:rsid w:val="00DA3FB0"/>
    <w:rsid w:val="00DA4160"/>
    <w:rsid w:val="00DA498D"/>
    <w:rsid w:val="00DA4C87"/>
    <w:rsid w:val="00DA5999"/>
    <w:rsid w:val="00DA5A07"/>
    <w:rsid w:val="00DA6607"/>
    <w:rsid w:val="00DA6FE2"/>
    <w:rsid w:val="00DA72D6"/>
    <w:rsid w:val="00DA7601"/>
    <w:rsid w:val="00DA791C"/>
    <w:rsid w:val="00DA7B45"/>
    <w:rsid w:val="00DA7DF9"/>
    <w:rsid w:val="00DB0783"/>
    <w:rsid w:val="00DB0801"/>
    <w:rsid w:val="00DB1A89"/>
    <w:rsid w:val="00DB203D"/>
    <w:rsid w:val="00DB3306"/>
    <w:rsid w:val="00DB3692"/>
    <w:rsid w:val="00DB4707"/>
    <w:rsid w:val="00DB4889"/>
    <w:rsid w:val="00DB5019"/>
    <w:rsid w:val="00DB5137"/>
    <w:rsid w:val="00DB5280"/>
    <w:rsid w:val="00DB532C"/>
    <w:rsid w:val="00DB66ED"/>
    <w:rsid w:val="00DB736F"/>
    <w:rsid w:val="00DB7FF7"/>
    <w:rsid w:val="00DC0A67"/>
    <w:rsid w:val="00DC248A"/>
    <w:rsid w:val="00DC272F"/>
    <w:rsid w:val="00DC2D8E"/>
    <w:rsid w:val="00DC3331"/>
    <w:rsid w:val="00DC3FC7"/>
    <w:rsid w:val="00DC4439"/>
    <w:rsid w:val="00DC45AB"/>
    <w:rsid w:val="00DC4E69"/>
    <w:rsid w:val="00DC4FF1"/>
    <w:rsid w:val="00DC505D"/>
    <w:rsid w:val="00DC5273"/>
    <w:rsid w:val="00DC5636"/>
    <w:rsid w:val="00DC6E2D"/>
    <w:rsid w:val="00DC7100"/>
    <w:rsid w:val="00DD0D89"/>
    <w:rsid w:val="00DD1024"/>
    <w:rsid w:val="00DD1610"/>
    <w:rsid w:val="00DD16FA"/>
    <w:rsid w:val="00DD1802"/>
    <w:rsid w:val="00DD2035"/>
    <w:rsid w:val="00DD2786"/>
    <w:rsid w:val="00DD2FF4"/>
    <w:rsid w:val="00DD30C3"/>
    <w:rsid w:val="00DD318E"/>
    <w:rsid w:val="00DD3B9A"/>
    <w:rsid w:val="00DD403B"/>
    <w:rsid w:val="00DD427E"/>
    <w:rsid w:val="00DD4346"/>
    <w:rsid w:val="00DD45D5"/>
    <w:rsid w:val="00DD483E"/>
    <w:rsid w:val="00DD4F09"/>
    <w:rsid w:val="00DD53F6"/>
    <w:rsid w:val="00DD58A7"/>
    <w:rsid w:val="00DD5E69"/>
    <w:rsid w:val="00DD5EFB"/>
    <w:rsid w:val="00DD60B5"/>
    <w:rsid w:val="00DD6908"/>
    <w:rsid w:val="00DD6AA2"/>
    <w:rsid w:val="00DD6B33"/>
    <w:rsid w:val="00DD7715"/>
    <w:rsid w:val="00DD7886"/>
    <w:rsid w:val="00DD7B46"/>
    <w:rsid w:val="00DE0295"/>
    <w:rsid w:val="00DE0670"/>
    <w:rsid w:val="00DE08F8"/>
    <w:rsid w:val="00DE0A30"/>
    <w:rsid w:val="00DE0A34"/>
    <w:rsid w:val="00DE0A64"/>
    <w:rsid w:val="00DE0BF7"/>
    <w:rsid w:val="00DE0E02"/>
    <w:rsid w:val="00DE1BBE"/>
    <w:rsid w:val="00DE1C9D"/>
    <w:rsid w:val="00DE2279"/>
    <w:rsid w:val="00DE2667"/>
    <w:rsid w:val="00DE27FF"/>
    <w:rsid w:val="00DE2EB2"/>
    <w:rsid w:val="00DE3797"/>
    <w:rsid w:val="00DE3965"/>
    <w:rsid w:val="00DE3E14"/>
    <w:rsid w:val="00DE48F2"/>
    <w:rsid w:val="00DE4B09"/>
    <w:rsid w:val="00DE4F09"/>
    <w:rsid w:val="00DE6243"/>
    <w:rsid w:val="00DE6DF4"/>
    <w:rsid w:val="00DE6E58"/>
    <w:rsid w:val="00DE703C"/>
    <w:rsid w:val="00DE75FA"/>
    <w:rsid w:val="00DE7C43"/>
    <w:rsid w:val="00DF02CE"/>
    <w:rsid w:val="00DF02DB"/>
    <w:rsid w:val="00DF07F2"/>
    <w:rsid w:val="00DF1F98"/>
    <w:rsid w:val="00DF1FD5"/>
    <w:rsid w:val="00DF2633"/>
    <w:rsid w:val="00DF274D"/>
    <w:rsid w:val="00DF2CF5"/>
    <w:rsid w:val="00DF2D8B"/>
    <w:rsid w:val="00DF3CC8"/>
    <w:rsid w:val="00DF4C15"/>
    <w:rsid w:val="00DF6EF8"/>
    <w:rsid w:val="00DF6FEB"/>
    <w:rsid w:val="00DF7660"/>
    <w:rsid w:val="00DF7D92"/>
    <w:rsid w:val="00E00117"/>
    <w:rsid w:val="00E00584"/>
    <w:rsid w:val="00E0111C"/>
    <w:rsid w:val="00E01362"/>
    <w:rsid w:val="00E01665"/>
    <w:rsid w:val="00E020D3"/>
    <w:rsid w:val="00E025E6"/>
    <w:rsid w:val="00E026FD"/>
    <w:rsid w:val="00E027CD"/>
    <w:rsid w:val="00E0388D"/>
    <w:rsid w:val="00E03E82"/>
    <w:rsid w:val="00E03FAC"/>
    <w:rsid w:val="00E04098"/>
    <w:rsid w:val="00E0664E"/>
    <w:rsid w:val="00E06A05"/>
    <w:rsid w:val="00E07327"/>
    <w:rsid w:val="00E11C25"/>
    <w:rsid w:val="00E12899"/>
    <w:rsid w:val="00E13B20"/>
    <w:rsid w:val="00E14466"/>
    <w:rsid w:val="00E15584"/>
    <w:rsid w:val="00E15C68"/>
    <w:rsid w:val="00E16066"/>
    <w:rsid w:val="00E16465"/>
    <w:rsid w:val="00E1697E"/>
    <w:rsid w:val="00E1731E"/>
    <w:rsid w:val="00E1744C"/>
    <w:rsid w:val="00E17980"/>
    <w:rsid w:val="00E2000C"/>
    <w:rsid w:val="00E20184"/>
    <w:rsid w:val="00E2096F"/>
    <w:rsid w:val="00E20B95"/>
    <w:rsid w:val="00E20E29"/>
    <w:rsid w:val="00E20F76"/>
    <w:rsid w:val="00E2136E"/>
    <w:rsid w:val="00E21C7E"/>
    <w:rsid w:val="00E22122"/>
    <w:rsid w:val="00E23181"/>
    <w:rsid w:val="00E236B7"/>
    <w:rsid w:val="00E23BE3"/>
    <w:rsid w:val="00E23EFD"/>
    <w:rsid w:val="00E24082"/>
    <w:rsid w:val="00E24C6E"/>
    <w:rsid w:val="00E25521"/>
    <w:rsid w:val="00E25625"/>
    <w:rsid w:val="00E25824"/>
    <w:rsid w:val="00E2582B"/>
    <w:rsid w:val="00E25E98"/>
    <w:rsid w:val="00E2668C"/>
    <w:rsid w:val="00E26799"/>
    <w:rsid w:val="00E26F64"/>
    <w:rsid w:val="00E270AA"/>
    <w:rsid w:val="00E27683"/>
    <w:rsid w:val="00E300B0"/>
    <w:rsid w:val="00E305ED"/>
    <w:rsid w:val="00E31029"/>
    <w:rsid w:val="00E314D8"/>
    <w:rsid w:val="00E31C8B"/>
    <w:rsid w:val="00E31DAB"/>
    <w:rsid w:val="00E320F5"/>
    <w:rsid w:val="00E3231B"/>
    <w:rsid w:val="00E3231C"/>
    <w:rsid w:val="00E330A9"/>
    <w:rsid w:val="00E330E2"/>
    <w:rsid w:val="00E331A1"/>
    <w:rsid w:val="00E33B26"/>
    <w:rsid w:val="00E33EB5"/>
    <w:rsid w:val="00E34DCA"/>
    <w:rsid w:val="00E3650A"/>
    <w:rsid w:val="00E367F8"/>
    <w:rsid w:val="00E36AA4"/>
    <w:rsid w:val="00E37A1B"/>
    <w:rsid w:val="00E401F3"/>
    <w:rsid w:val="00E406AA"/>
    <w:rsid w:val="00E40C5E"/>
    <w:rsid w:val="00E41104"/>
    <w:rsid w:val="00E418F4"/>
    <w:rsid w:val="00E41989"/>
    <w:rsid w:val="00E42172"/>
    <w:rsid w:val="00E4263F"/>
    <w:rsid w:val="00E427B6"/>
    <w:rsid w:val="00E42F0C"/>
    <w:rsid w:val="00E43187"/>
    <w:rsid w:val="00E436F2"/>
    <w:rsid w:val="00E4373F"/>
    <w:rsid w:val="00E43D5A"/>
    <w:rsid w:val="00E43FD2"/>
    <w:rsid w:val="00E44042"/>
    <w:rsid w:val="00E44940"/>
    <w:rsid w:val="00E4562D"/>
    <w:rsid w:val="00E45FD2"/>
    <w:rsid w:val="00E4691D"/>
    <w:rsid w:val="00E46D08"/>
    <w:rsid w:val="00E4744A"/>
    <w:rsid w:val="00E50530"/>
    <w:rsid w:val="00E50801"/>
    <w:rsid w:val="00E508A2"/>
    <w:rsid w:val="00E50F4F"/>
    <w:rsid w:val="00E51E52"/>
    <w:rsid w:val="00E52863"/>
    <w:rsid w:val="00E52A55"/>
    <w:rsid w:val="00E53317"/>
    <w:rsid w:val="00E53840"/>
    <w:rsid w:val="00E53962"/>
    <w:rsid w:val="00E53AD5"/>
    <w:rsid w:val="00E53ADA"/>
    <w:rsid w:val="00E543EE"/>
    <w:rsid w:val="00E5521B"/>
    <w:rsid w:val="00E55911"/>
    <w:rsid w:val="00E564BD"/>
    <w:rsid w:val="00E57414"/>
    <w:rsid w:val="00E576DF"/>
    <w:rsid w:val="00E5794A"/>
    <w:rsid w:val="00E57B5E"/>
    <w:rsid w:val="00E57E99"/>
    <w:rsid w:val="00E60A9E"/>
    <w:rsid w:val="00E6108B"/>
    <w:rsid w:val="00E610A3"/>
    <w:rsid w:val="00E61ADB"/>
    <w:rsid w:val="00E61C1A"/>
    <w:rsid w:val="00E61F24"/>
    <w:rsid w:val="00E62E5A"/>
    <w:rsid w:val="00E63017"/>
    <w:rsid w:val="00E639A6"/>
    <w:rsid w:val="00E639D5"/>
    <w:rsid w:val="00E63A60"/>
    <w:rsid w:val="00E63A88"/>
    <w:rsid w:val="00E63B1B"/>
    <w:rsid w:val="00E64642"/>
    <w:rsid w:val="00E652D0"/>
    <w:rsid w:val="00E669AC"/>
    <w:rsid w:val="00E66A73"/>
    <w:rsid w:val="00E66D5F"/>
    <w:rsid w:val="00E6701C"/>
    <w:rsid w:val="00E672AD"/>
    <w:rsid w:val="00E673C3"/>
    <w:rsid w:val="00E6743F"/>
    <w:rsid w:val="00E67510"/>
    <w:rsid w:val="00E676DF"/>
    <w:rsid w:val="00E67A9F"/>
    <w:rsid w:val="00E67C9A"/>
    <w:rsid w:val="00E700AA"/>
    <w:rsid w:val="00E711AA"/>
    <w:rsid w:val="00E7261C"/>
    <w:rsid w:val="00E72C10"/>
    <w:rsid w:val="00E74042"/>
    <w:rsid w:val="00E74139"/>
    <w:rsid w:val="00E7534B"/>
    <w:rsid w:val="00E754E4"/>
    <w:rsid w:val="00E754F2"/>
    <w:rsid w:val="00E76106"/>
    <w:rsid w:val="00E76656"/>
    <w:rsid w:val="00E768FB"/>
    <w:rsid w:val="00E77040"/>
    <w:rsid w:val="00E800FD"/>
    <w:rsid w:val="00E80F0C"/>
    <w:rsid w:val="00E81A01"/>
    <w:rsid w:val="00E81AD9"/>
    <w:rsid w:val="00E82B41"/>
    <w:rsid w:val="00E8334A"/>
    <w:rsid w:val="00E83389"/>
    <w:rsid w:val="00E836C3"/>
    <w:rsid w:val="00E837BC"/>
    <w:rsid w:val="00E839DA"/>
    <w:rsid w:val="00E83B1F"/>
    <w:rsid w:val="00E84500"/>
    <w:rsid w:val="00E84CEE"/>
    <w:rsid w:val="00E84F68"/>
    <w:rsid w:val="00E85641"/>
    <w:rsid w:val="00E85988"/>
    <w:rsid w:val="00E85D46"/>
    <w:rsid w:val="00E86495"/>
    <w:rsid w:val="00E865D5"/>
    <w:rsid w:val="00E8669F"/>
    <w:rsid w:val="00E866D2"/>
    <w:rsid w:val="00E878E5"/>
    <w:rsid w:val="00E900CA"/>
    <w:rsid w:val="00E90127"/>
    <w:rsid w:val="00E91953"/>
    <w:rsid w:val="00E91E85"/>
    <w:rsid w:val="00E9227D"/>
    <w:rsid w:val="00E92343"/>
    <w:rsid w:val="00E92685"/>
    <w:rsid w:val="00E92705"/>
    <w:rsid w:val="00E929EE"/>
    <w:rsid w:val="00E945B3"/>
    <w:rsid w:val="00E948F9"/>
    <w:rsid w:val="00E94B1E"/>
    <w:rsid w:val="00E9518F"/>
    <w:rsid w:val="00E952B6"/>
    <w:rsid w:val="00E97B20"/>
    <w:rsid w:val="00EA0539"/>
    <w:rsid w:val="00EA0CF4"/>
    <w:rsid w:val="00EA1D5B"/>
    <w:rsid w:val="00EA1E9B"/>
    <w:rsid w:val="00EA3469"/>
    <w:rsid w:val="00EA3778"/>
    <w:rsid w:val="00EA3A7C"/>
    <w:rsid w:val="00EA4A15"/>
    <w:rsid w:val="00EA4AC2"/>
    <w:rsid w:val="00EA4B9D"/>
    <w:rsid w:val="00EA4EF4"/>
    <w:rsid w:val="00EA52D8"/>
    <w:rsid w:val="00EA54E0"/>
    <w:rsid w:val="00EA6399"/>
    <w:rsid w:val="00EA65F9"/>
    <w:rsid w:val="00EA6BB0"/>
    <w:rsid w:val="00EA7317"/>
    <w:rsid w:val="00EA759E"/>
    <w:rsid w:val="00EA792D"/>
    <w:rsid w:val="00EB00FF"/>
    <w:rsid w:val="00EB0BE4"/>
    <w:rsid w:val="00EB0FF3"/>
    <w:rsid w:val="00EB244E"/>
    <w:rsid w:val="00EB2965"/>
    <w:rsid w:val="00EB2D0D"/>
    <w:rsid w:val="00EB3CE8"/>
    <w:rsid w:val="00EB3E0E"/>
    <w:rsid w:val="00EB45AE"/>
    <w:rsid w:val="00EB4903"/>
    <w:rsid w:val="00EB6067"/>
    <w:rsid w:val="00EB6116"/>
    <w:rsid w:val="00EB6967"/>
    <w:rsid w:val="00EB6FAE"/>
    <w:rsid w:val="00EB72BB"/>
    <w:rsid w:val="00EB72EF"/>
    <w:rsid w:val="00EB7896"/>
    <w:rsid w:val="00EB7B89"/>
    <w:rsid w:val="00EB7C56"/>
    <w:rsid w:val="00EC0052"/>
    <w:rsid w:val="00EC0F17"/>
    <w:rsid w:val="00EC1068"/>
    <w:rsid w:val="00EC1863"/>
    <w:rsid w:val="00EC29F3"/>
    <w:rsid w:val="00EC3366"/>
    <w:rsid w:val="00EC3BBB"/>
    <w:rsid w:val="00EC4718"/>
    <w:rsid w:val="00EC4910"/>
    <w:rsid w:val="00EC4BC9"/>
    <w:rsid w:val="00EC4FDA"/>
    <w:rsid w:val="00EC5E0D"/>
    <w:rsid w:val="00EC6117"/>
    <w:rsid w:val="00EC75E8"/>
    <w:rsid w:val="00EC773F"/>
    <w:rsid w:val="00EC7A90"/>
    <w:rsid w:val="00ED0B84"/>
    <w:rsid w:val="00ED1596"/>
    <w:rsid w:val="00ED1806"/>
    <w:rsid w:val="00ED25D5"/>
    <w:rsid w:val="00ED2914"/>
    <w:rsid w:val="00ED29CF"/>
    <w:rsid w:val="00ED2B07"/>
    <w:rsid w:val="00ED2DD9"/>
    <w:rsid w:val="00ED3000"/>
    <w:rsid w:val="00ED365A"/>
    <w:rsid w:val="00ED3E8C"/>
    <w:rsid w:val="00ED3F94"/>
    <w:rsid w:val="00ED4200"/>
    <w:rsid w:val="00ED6043"/>
    <w:rsid w:val="00ED6166"/>
    <w:rsid w:val="00ED79DB"/>
    <w:rsid w:val="00EE13D5"/>
    <w:rsid w:val="00EE25AB"/>
    <w:rsid w:val="00EE2A67"/>
    <w:rsid w:val="00EE2C65"/>
    <w:rsid w:val="00EE2E1B"/>
    <w:rsid w:val="00EE2F36"/>
    <w:rsid w:val="00EE33BB"/>
    <w:rsid w:val="00EE39E2"/>
    <w:rsid w:val="00EE3B3C"/>
    <w:rsid w:val="00EE3BBB"/>
    <w:rsid w:val="00EE3EF8"/>
    <w:rsid w:val="00EE47B9"/>
    <w:rsid w:val="00EE4BA2"/>
    <w:rsid w:val="00EE501F"/>
    <w:rsid w:val="00EE5441"/>
    <w:rsid w:val="00EE6167"/>
    <w:rsid w:val="00EE6A9F"/>
    <w:rsid w:val="00EE7590"/>
    <w:rsid w:val="00EE76A8"/>
    <w:rsid w:val="00EF0157"/>
    <w:rsid w:val="00EF04CB"/>
    <w:rsid w:val="00EF0965"/>
    <w:rsid w:val="00EF1CCA"/>
    <w:rsid w:val="00EF1DD7"/>
    <w:rsid w:val="00EF20B1"/>
    <w:rsid w:val="00EF3120"/>
    <w:rsid w:val="00EF37A5"/>
    <w:rsid w:val="00EF4DBC"/>
    <w:rsid w:val="00EF4F1A"/>
    <w:rsid w:val="00EF5A7C"/>
    <w:rsid w:val="00EF5E24"/>
    <w:rsid w:val="00EF5E29"/>
    <w:rsid w:val="00EF69BF"/>
    <w:rsid w:val="00EF6B39"/>
    <w:rsid w:val="00EF6F6D"/>
    <w:rsid w:val="00EF71C1"/>
    <w:rsid w:val="00EF72D0"/>
    <w:rsid w:val="00EF7587"/>
    <w:rsid w:val="00F0066E"/>
    <w:rsid w:val="00F00B3C"/>
    <w:rsid w:val="00F0109A"/>
    <w:rsid w:val="00F012A1"/>
    <w:rsid w:val="00F01D06"/>
    <w:rsid w:val="00F01F1B"/>
    <w:rsid w:val="00F02135"/>
    <w:rsid w:val="00F02417"/>
    <w:rsid w:val="00F026D7"/>
    <w:rsid w:val="00F02ABA"/>
    <w:rsid w:val="00F03199"/>
    <w:rsid w:val="00F03761"/>
    <w:rsid w:val="00F04DE8"/>
    <w:rsid w:val="00F05130"/>
    <w:rsid w:val="00F06B2F"/>
    <w:rsid w:val="00F06B68"/>
    <w:rsid w:val="00F074A4"/>
    <w:rsid w:val="00F07503"/>
    <w:rsid w:val="00F1029E"/>
    <w:rsid w:val="00F103E3"/>
    <w:rsid w:val="00F106E6"/>
    <w:rsid w:val="00F109AF"/>
    <w:rsid w:val="00F10B2F"/>
    <w:rsid w:val="00F11FD0"/>
    <w:rsid w:val="00F126DE"/>
    <w:rsid w:val="00F12B9C"/>
    <w:rsid w:val="00F137B3"/>
    <w:rsid w:val="00F1399E"/>
    <w:rsid w:val="00F13CA2"/>
    <w:rsid w:val="00F13D78"/>
    <w:rsid w:val="00F14085"/>
    <w:rsid w:val="00F1456D"/>
    <w:rsid w:val="00F150DF"/>
    <w:rsid w:val="00F15418"/>
    <w:rsid w:val="00F15486"/>
    <w:rsid w:val="00F158DD"/>
    <w:rsid w:val="00F2074C"/>
    <w:rsid w:val="00F210E0"/>
    <w:rsid w:val="00F226BD"/>
    <w:rsid w:val="00F226DB"/>
    <w:rsid w:val="00F22955"/>
    <w:rsid w:val="00F22AF8"/>
    <w:rsid w:val="00F23914"/>
    <w:rsid w:val="00F23CC7"/>
    <w:rsid w:val="00F241AB"/>
    <w:rsid w:val="00F245A8"/>
    <w:rsid w:val="00F247DD"/>
    <w:rsid w:val="00F24DCE"/>
    <w:rsid w:val="00F2577C"/>
    <w:rsid w:val="00F26645"/>
    <w:rsid w:val="00F268EC"/>
    <w:rsid w:val="00F26ACC"/>
    <w:rsid w:val="00F26D8B"/>
    <w:rsid w:val="00F26F2B"/>
    <w:rsid w:val="00F277BB"/>
    <w:rsid w:val="00F27B71"/>
    <w:rsid w:val="00F27E2D"/>
    <w:rsid w:val="00F27FF4"/>
    <w:rsid w:val="00F30A21"/>
    <w:rsid w:val="00F30AEA"/>
    <w:rsid w:val="00F30B28"/>
    <w:rsid w:val="00F3125B"/>
    <w:rsid w:val="00F3155B"/>
    <w:rsid w:val="00F32130"/>
    <w:rsid w:val="00F32541"/>
    <w:rsid w:val="00F3274E"/>
    <w:rsid w:val="00F33451"/>
    <w:rsid w:val="00F334AD"/>
    <w:rsid w:val="00F34230"/>
    <w:rsid w:val="00F34B23"/>
    <w:rsid w:val="00F3526D"/>
    <w:rsid w:val="00F35570"/>
    <w:rsid w:val="00F37303"/>
    <w:rsid w:val="00F3747C"/>
    <w:rsid w:val="00F37BE4"/>
    <w:rsid w:val="00F40809"/>
    <w:rsid w:val="00F40B12"/>
    <w:rsid w:val="00F4182F"/>
    <w:rsid w:val="00F41B1C"/>
    <w:rsid w:val="00F41B6D"/>
    <w:rsid w:val="00F42236"/>
    <w:rsid w:val="00F4264C"/>
    <w:rsid w:val="00F42730"/>
    <w:rsid w:val="00F428ED"/>
    <w:rsid w:val="00F4299A"/>
    <w:rsid w:val="00F42D46"/>
    <w:rsid w:val="00F42EA8"/>
    <w:rsid w:val="00F43211"/>
    <w:rsid w:val="00F43903"/>
    <w:rsid w:val="00F43B30"/>
    <w:rsid w:val="00F43D3C"/>
    <w:rsid w:val="00F44AD1"/>
    <w:rsid w:val="00F44EA3"/>
    <w:rsid w:val="00F45187"/>
    <w:rsid w:val="00F46117"/>
    <w:rsid w:val="00F46F21"/>
    <w:rsid w:val="00F47E8A"/>
    <w:rsid w:val="00F5000A"/>
    <w:rsid w:val="00F50B45"/>
    <w:rsid w:val="00F518EF"/>
    <w:rsid w:val="00F5296A"/>
    <w:rsid w:val="00F52B40"/>
    <w:rsid w:val="00F5357B"/>
    <w:rsid w:val="00F537B0"/>
    <w:rsid w:val="00F53C1D"/>
    <w:rsid w:val="00F54AAA"/>
    <w:rsid w:val="00F55965"/>
    <w:rsid w:val="00F55BAE"/>
    <w:rsid w:val="00F564F4"/>
    <w:rsid w:val="00F56537"/>
    <w:rsid w:val="00F56E76"/>
    <w:rsid w:val="00F57122"/>
    <w:rsid w:val="00F574C1"/>
    <w:rsid w:val="00F577A5"/>
    <w:rsid w:val="00F60121"/>
    <w:rsid w:val="00F60424"/>
    <w:rsid w:val="00F605A0"/>
    <w:rsid w:val="00F60D5C"/>
    <w:rsid w:val="00F61988"/>
    <w:rsid w:val="00F619FF"/>
    <w:rsid w:val="00F61E8D"/>
    <w:rsid w:val="00F63388"/>
    <w:rsid w:val="00F63DAF"/>
    <w:rsid w:val="00F64FC6"/>
    <w:rsid w:val="00F65072"/>
    <w:rsid w:val="00F656D7"/>
    <w:rsid w:val="00F65C78"/>
    <w:rsid w:val="00F65D73"/>
    <w:rsid w:val="00F70BCC"/>
    <w:rsid w:val="00F70E19"/>
    <w:rsid w:val="00F716EA"/>
    <w:rsid w:val="00F719EF"/>
    <w:rsid w:val="00F72922"/>
    <w:rsid w:val="00F72DA3"/>
    <w:rsid w:val="00F734AF"/>
    <w:rsid w:val="00F73E50"/>
    <w:rsid w:val="00F7439E"/>
    <w:rsid w:val="00F7476A"/>
    <w:rsid w:val="00F750E2"/>
    <w:rsid w:val="00F77A0E"/>
    <w:rsid w:val="00F8126E"/>
    <w:rsid w:val="00F81FD7"/>
    <w:rsid w:val="00F823ED"/>
    <w:rsid w:val="00F82C04"/>
    <w:rsid w:val="00F8347F"/>
    <w:rsid w:val="00F840F2"/>
    <w:rsid w:val="00F8448C"/>
    <w:rsid w:val="00F84CAB"/>
    <w:rsid w:val="00F84D07"/>
    <w:rsid w:val="00F85341"/>
    <w:rsid w:val="00F86830"/>
    <w:rsid w:val="00F86981"/>
    <w:rsid w:val="00F86BD6"/>
    <w:rsid w:val="00F87211"/>
    <w:rsid w:val="00F87A4C"/>
    <w:rsid w:val="00F87B48"/>
    <w:rsid w:val="00F87CD8"/>
    <w:rsid w:val="00F9058D"/>
    <w:rsid w:val="00F9075D"/>
    <w:rsid w:val="00F9079F"/>
    <w:rsid w:val="00F908B4"/>
    <w:rsid w:val="00F90F1E"/>
    <w:rsid w:val="00F9174A"/>
    <w:rsid w:val="00F92F18"/>
    <w:rsid w:val="00F92F1D"/>
    <w:rsid w:val="00F93037"/>
    <w:rsid w:val="00F93B03"/>
    <w:rsid w:val="00F93C81"/>
    <w:rsid w:val="00F949D3"/>
    <w:rsid w:val="00F94F60"/>
    <w:rsid w:val="00F956E8"/>
    <w:rsid w:val="00F969DC"/>
    <w:rsid w:val="00F96B4F"/>
    <w:rsid w:val="00F96FBB"/>
    <w:rsid w:val="00F97786"/>
    <w:rsid w:val="00F979D2"/>
    <w:rsid w:val="00F97F03"/>
    <w:rsid w:val="00F97F8A"/>
    <w:rsid w:val="00FA0D9A"/>
    <w:rsid w:val="00FA0E4D"/>
    <w:rsid w:val="00FA1515"/>
    <w:rsid w:val="00FA1597"/>
    <w:rsid w:val="00FA1636"/>
    <w:rsid w:val="00FA201B"/>
    <w:rsid w:val="00FA33B1"/>
    <w:rsid w:val="00FA3483"/>
    <w:rsid w:val="00FA3640"/>
    <w:rsid w:val="00FA4020"/>
    <w:rsid w:val="00FA4132"/>
    <w:rsid w:val="00FA4291"/>
    <w:rsid w:val="00FA562B"/>
    <w:rsid w:val="00FA659B"/>
    <w:rsid w:val="00FA7F5B"/>
    <w:rsid w:val="00FB0C78"/>
    <w:rsid w:val="00FB1131"/>
    <w:rsid w:val="00FB1659"/>
    <w:rsid w:val="00FB2A74"/>
    <w:rsid w:val="00FB3A22"/>
    <w:rsid w:val="00FB438C"/>
    <w:rsid w:val="00FB48ED"/>
    <w:rsid w:val="00FB4914"/>
    <w:rsid w:val="00FB4ADA"/>
    <w:rsid w:val="00FB592A"/>
    <w:rsid w:val="00FB670A"/>
    <w:rsid w:val="00FB670C"/>
    <w:rsid w:val="00FB677A"/>
    <w:rsid w:val="00FB7032"/>
    <w:rsid w:val="00FB7E59"/>
    <w:rsid w:val="00FC01EE"/>
    <w:rsid w:val="00FC0471"/>
    <w:rsid w:val="00FC04C4"/>
    <w:rsid w:val="00FC14DE"/>
    <w:rsid w:val="00FC1869"/>
    <w:rsid w:val="00FC18DB"/>
    <w:rsid w:val="00FC19CB"/>
    <w:rsid w:val="00FC1C2F"/>
    <w:rsid w:val="00FC2201"/>
    <w:rsid w:val="00FC424E"/>
    <w:rsid w:val="00FC4D38"/>
    <w:rsid w:val="00FC5A49"/>
    <w:rsid w:val="00FC5C7D"/>
    <w:rsid w:val="00FC5DBB"/>
    <w:rsid w:val="00FC6271"/>
    <w:rsid w:val="00FC6FC7"/>
    <w:rsid w:val="00FC7BCF"/>
    <w:rsid w:val="00FD07C8"/>
    <w:rsid w:val="00FD0E36"/>
    <w:rsid w:val="00FD1307"/>
    <w:rsid w:val="00FD1379"/>
    <w:rsid w:val="00FD188D"/>
    <w:rsid w:val="00FD1904"/>
    <w:rsid w:val="00FD1FF7"/>
    <w:rsid w:val="00FD2033"/>
    <w:rsid w:val="00FD213E"/>
    <w:rsid w:val="00FD2761"/>
    <w:rsid w:val="00FD2C29"/>
    <w:rsid w:val="00FD30F0"/>
    <w:rsid w:val="00FD3236"/>
    <w:rsid w:val="00FD461C"/>
    <w:rsid w:val="00FD4667"/>
    <w:rsid w:val="00FD48B4"/>
    <w:rsid w:val="00FD61BE"/>
    <w:rsid w:val="00FD632B"/>
    <w:rsid w:val="00FD65F9"/>
    <w:rsid w:val="00FD65FE"/>
    <w:rsid w:val="00FD7169"/>
    <w:rsid w:val="00FD77D9"/>
    <w:rsid w:val="00FE0D3A"/>
    <w:rsid w:val="00FE1CAB"/>
    <w:rsid w:val="00FE20B3"/>
    <w:rsid w:val="00FE25AB"/>
    <w:rsid w:val="00FE2E21"/>
    <w:rsid w:val="00FE3A92"/>
    <w:rsid w:val="00FE3D34"/>
    <w:rsid w:val="00FE43DF"/>
    <w:rsid w:val="00FE4A08"/>
    <w:rsid w:val="00FE4BB8"/>
    <w:rsid w:val="00FE5679"/>
    <w:rsid w:val="00FE6157"/>
    <w:rsid w:val="00FE6268"/>
    <w:rsid w:val="00FE63B8"/>
    <w:rsid w:val="00FE66C5"/>
    <w:rsid w:val="00FE7065"/>
    <w:rsid w:val="00FE76F9"/>
    <w:rsid w:val="00FE78EA"/>
    <w:rsid w:val="00FE7BA6"/>
    <w:rsid w:val="00FF03A1"/>
    <w:rsid w:val="00FF05B2"/>
    <w:rsid w:val="00FF07C7"/>
    <w:rsid w:val="00FF1221"/>
    <w:rsid w:val="00FF25B6"/>
    <w:rsid w:val="00FF25C0"/>
    <w:rsid w:val="00FF282F"/>
    <w:rsid w:val="00FF361E"/>
    <w:rsid w:val="00FF3A85"/>
    <w:rsid w:val="00FF4DAA"/>
    <w:rsid w:val="00FF606F"/>
    <w:rsid w:val="00FF6318"/>
    <w:rsid w:val="00FF72A0"/>
    <w:rsid w:val="00FF72BF"/>
    <w:rsid w:val="00FF7391"/>
    <w:rsid w:val="00FF7AD2"/>
    <w:rsid w:val="01CA5BA7"/>
    <w:rsid w:val="04466081"/>
    <w:rsid w:val="04F8756D"/>
    <w:rsid w:val="06535801"/>
    <w:rsid w:val="06DB3924"/>
    <w:rsid w:val="083157B1"/>
    <w:rsid w:val="08F33DE9"/>
    <w:rsid w:val="09AE5C0D"/>
    <w:rsid w:val="0A233DA0"/>
    <w:rsid w:val="0ACC7081"/>
    <w:rsid w:val="0AD26A69"/>
    <w:rsid w:val="0AE91F33"/>
    <w:rsid w:val="0D1353E8"/>
    <w:rsid w:val="0D340B45"/>
    <w:rsid w:val="0D483707"/>
    <w:rsid w:val="0ECD775B"/>
    <w:rsid w:val="0F625486"/>
    <w:rsid w:val="0FA87F8E"/>
    <w:rsid w:val="100B017B"/>
    <w:rsid w:val="103275A7"/>
    <w:rsid w:val="128A6B74"/>
    <w:rsid w:val="13387B8B"/>
    <w:rsid w:val="1347033C"/>
    <w:rsid w:val="135A6DF3"/>
    <w:rsid w:val="13761111"/>
    <w:rsid w:val="147F2570"/>
    <w:rsid w:val="14A82E17"/>
    <w:rsid w:val="159F2818"/>
    <w:rsid w:val="16A60A84"/>
    <w:rsid w:val="175576AE"/>
    <w:rsid w:val="18AF4B86"/>
    <w:rsid w:val="18EC6138"/>
    <w:rsid w:val="1A2D3266"/>
    <w:rsid w:val="1ABA4225"/>
    <w:rsid w:val="1B456413"/>
    <w:rsid w:val="1B6130A0"/>
    <w:rsid w:val="1C3A6092"/>
    <w:rsid w:val="1C865C38"/>
    <w:rsid w:val="1CD12141"/>
    <w:rsid w:val="1E685771"/>
    <w:rsid w:val="1E925000"/>
    <w:rsid w:val="205D0ED2"/>
    <w:rsid w:val="21832403"/>
    <w:rsid w:val="23DD3293"/>
    <w:rsid w:val="2467047E"/>
    <w:rsid w:val="2515311D"/>
    <w:rsid w:val="25BA1463"/>
    <w:rsid w:val="26111CFD"/>
    <w:rsid w:val="26275B87"/>
    <w:rsid w:val="263E6872"/>
    <w:rsid w:val="27FF2AD5"/>
    <w:rsid w:val="2834264A"/>
    <w:rsid w:val="2897760A"/>
    <w:rsid w:val="29673216"/>
    <w:rsid w:val="29996C05"/>
    <w:rsid w:val="29BE731B"/>
    <w:rsid w:val="2B687E84"/>
    <w:rsid w:val="2B7E23B6"/>
    <w:rsid w:val="2BC22AE0"/>
    <w:rsid w:val="2C4F5398"/>
    <w:rsid w:val="2CBC2307"/>
    <w:rsid w:val="2D6208D8"/>
    <w:rsid w:val="2E486E73"/>
    <w:rsid w:val="2E4964F3"/>
    <w:rsid w:val="316C0E47"/>
    <w:rsid w:val="31E4648A"/>
    <w:rsid w:val="32532C92"/>
    <w:rsid w:val="344E1BFE"/>
    <w:rsid w:val="36E55206"/>
    <w:rsid w:val="37664651"/>
    <w:rsid w:val="376C5F94"/>
    <w:rsid w:val="38076DD3"/>
    <w:rsid w:val="38362B50"/>
    <w:rsid w:val="39026ACE"/>
    <w:rsid w:val="3F0F1A73"/>
    <w:rsid w:val="3F2775D5"/>
    <w:rsid w:val="404E634E"/>
    <w:rsid w:val="40BF6C5C"/>
    <w:rsid w:val="4270765B"/>
    <w:rsid w:val="4281395F"/>
    <w:rsid w:val="42C22F0E"/>
    <w:rsid w:val="42EB0A09"/>
    <w:rsid w:val="43292033"/>
    <w:rsid w:val="43B4428F"/>
    <w:rsid w:val="43E80F78"/>
    <w:rsid w:val="44C970C6"/>
    <w:rsid w:val="44DA0176"/>
    <w:rsid w:val="45CF15BD"/>
    <w:rsid w:val="461916FA"/>
    <w:rsid w:val="46A615B8"/>
    <w:rsid w:val="47A613D4"/>
    <w:rsid w:val="47B43B42"/>
    <w:rsid w:val="47BA1A8F"/>
    <w:rsid w:val="47C646C8"/>
    <w:rsid w:val="481B3EEB"/>
    <w:rsid w:val="494F4913"/>
    <w:rsid w:val="49A65EBE"/>
    <w:rsid w:val="4AEE5F8B"/>
    <w:rsid w:val="4BAE7F8D"/>
    <w:rsid w:val="4CA87184"/>
    <w:rsid w:val="4D667F62"/>
    <w:rsid w:val="4D77682E"/>
    <w:rsid w:val="4DB322D9"/>
    <w:rsid w:val="4E2C7890"/>
    <w:rsid w:val="4F8036C8"/>
    <w:rsid w:val="514C68B4"/>
    <w:rsid w:val="51E17E52"/>
    <w:rsid w:val="534F1115"/>
    <w:rsid w:val="5379417F"/>
    <w:rsid w:val="538C37A2"/>
    <w:rsid w:val="53DC1AA8"/>
    <w:rsid w:val="5425092E"/>
    <w:rsid w:val="54386657"/>
    <w:rsid w:val="54893033"/>
    <w:rsid w:val="556E0C3B"/>
    <w:rsid w:val="571119ED"/>
    <w:rsid w:val="575D47EB"/>
    <w:rsid w:val="5783582F"/>
    <w:rsid w:val="589648E8"/>
    <w:rsid w:val="58AF0012"/>
    <w:rsid w:val="5B8065F3"/>
    <w:rsid w:val="5BA55AAF"/>
    <w:rsid w:val="5BB62C80"/>
    <w:rsid w:val="5C495E25"/>
    <w:rsid w:val="5C96214F"/>
    <w:rsid w:val="5D813932"/>
    <w:rsid w:val="5E8D7684"/>
    <w:rsid w:val="5F2F0FD9"/>
    <w:rsid w:val="60E02D1E"/>
    <w:rsid w:val="6290351B"/>
    <w:rsid w:val="62D7160E"/>
    <w:rsid w:val="62F00FE8"/>
    <w:rsid w:val="631E554D"/>
    <w:rsid w:val="64550769"/>
    <w:rsid w:val="64951000"/>
    <w:rsid w:val="66131664"/>
    <w:rsid w:val="6651449F"/>
    <w:rsid w:val="67E314D2"/>
    <w:rsid w:val="69625E3C"/>
    <w:rsid w:val="69D62DF0"/>
    <w:rsid w:val="6A26237A"/>
    <w:rsid w:val="6A7F5506"/>
    <w:rsid w:val="6B173C0E"/>
    <w:rsid w:val="6C162AE4"/>
    <w:rsid w:val="6C3103CE"/>
    <w:rsid w:val="6CB70585"/>
    <w:rsid w:val="6D8A1D33"/>
    <w:rsid w:val="6D8D1522"/>
    <w:rsid w:val="6DA617D5"/>
    <w:rsid w:val="6DC62149"/>
    <w:rsid w:val="6DF055CA"/>
    <w:rsid w:val="6FAC25C8"/>
    <w:rsid w:val="6FFF650C"/>
    <w:rsid w:val="71302690"/>
    <w:rsid w:val="7177208A"/>
    <w:rsid w:val="720B30F4"/>
    <w:rsid w:val="745F18BD"/>
    <w:rsid w:val="749D1577"/>
    <w:rsid w:val="750136F8"/>
    <w:rsid w:val="75B64EA8"/>
    <w:rsid w:val="765E5547"/>
    <w:rsid w:val="78093B93"/>
    <w:rsid w:val="781511A3"/>
    <w:rsid w:val="78C73E1C"/>
    <w:rsid w:val="78CC7355"/>
    <w:rsid w:val="79E16A20"/>
    <w:rsid w:val="7DBE6DDC"/>
    <w:rsid w:val="7E1D7EFA"/>
    <w:rsid w:val="7EFE21EA"/>
    <w:rsid w:val="7F23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肘形连接符 54"/>
        <o:r id="V:Rule2" type="connector" idref="#直接箭头连接符 58"/>
        <o:r id="V:Rule3" type="connector" idref="#直接箭头连接符 72"/>
        <o:r id="V:Rule4" type="connector" idref="#直接箭头连接符 74"/>
        <o:r id="V:Rule5" type="connector" idref="#直接箭头连接符 2"/>
        <o:r id="V:Rule6" type="connector" idref="#直接箭头连接符 6"/>
        <o:r id="V:Rule7" type="connector" idref="#肘形连接符 24"/>
        <o:r id="V:Rule8" type="connector" idref="#肘形连接符 41"/>
        <o:r id="V:Rule9" type="connector" idref="#直接箭头连接符 62"/>
        <o:r id="V:Rule10" type="connector" idref="#直接箭头连接符 91"/>
        <o:r id="V:Rule11" type="connector" idref="#直接箭头连接符 100"/>
        <o:r id="V:Rule12" type="connector" idref="#肘形连接符 105"/>
        <o:r id="V:Rule13" type="connector" idref="#肘形连接符 108"/>
        <o:r id="V:Rule14" type="connector" idref="#直接箭头连接符 113"/>
        <o:r id="V:Rule15" type="connector" idref="#直接箭头连接符 117"/>
        <o:r id="V:Rule16" type="connector" idref="#_x0000_s1212"/>
        <o:r id="V:Rule17" type="connector" idref="#直接箭头连接符 9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nhideWhenUsed="0"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nhideWhenUsed="0"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6"/>
    <w:qFormat/>
    <w:uiPriority w:val="0"/>
    <w:pPr>
      <w:keepNext/>
      <w:keepLines/>
      <w:shd w:val="clear" w:color="auto" w:fill="FFFFFF"/>
      <w:spacing w:before="240" w:after="120" w:line="193" w:lineRule="atLeast"/>
      <w:outlineLvl w:val="0"/>
    </w:pPr>
    <w:rPr>
      <w:rFonts w:ascii="宋体" w:hAnsi="宋体"/>
      <w:bCs/>
      <w:kern w:val="44"/>
      <w:sz w:val="24"/>
      <w:szCs w:val="2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16"/>
    <w:qFormat/>
    <w:uiPriority w:val="0"/>
    <w:pPr>
      <w:keepNext/>
      <w:keepLines/>
      <w:spacing w:before="1000" w:after="400"/>
      <w:jc w:val="center"/>
      <w:outlineLvl w:val="2"/>
    </w:pPr>
    <w:rPr>
      <w:rFonts w:ascii="文鼎小标宋简" w:eastAsia="文鼎小标宋简"/>
      <w:sz w:val="44"/>
      <w:szCs w:val="20"/>
    </w:rPr>
  </w:style>
  <w:style w:type="paragraph" w:styleId="6">
    <w:name w:val="heading 4"/>
    <w:basedOn w:val="1"/>
    <w:next w:val="1"/>
    <w:link w:val="71"/>
    <w:qFormat/>
    <w:uiPriority w:val="0"/>
    <w:pPr>
      <w:tabs>
        <w:tab w:val="left" w:pos="1134"/>
      </w:tabs>
      <w:spacing w:before="120" w:line="360" w:lineRule="auto"/>
      <w:ind w:left="1134" w:hanging="1134" w:firstLineChars="200"/>
      <w:outlineLvl w:val="3"/>
    </w:pPr>
    <w:rPr>
      <w:rFonts w:ascii="宋体" w:hAnsi="宋体" w:eastAsia="仿宋_GB2312"/>
      <w:sz w:val="24"/>
      <w:szCs w:val="28"/>
    </w:rPr>
  </w:style>
  <w:style w:type="paragraph" w:styleId="7">
    <w:name w:val="heading 5"/>
    <w:basedOn w:val="1"/>
    <w:next w:val="1"/>
    <w:link w:val="208"/>
    <w:qFormat/>
    <w:uiPriority w:val="0"/>
    <w:pPr>
      <w:keepNext/>
      <w:keepLines/>
      <w:spacing w:before="280" w:after="290" w:line="376" w:lineRule="auto"/>
      <w:outlineLvl w:val="4"/>
    </w:pPr>
    <w:rPr>
      <w:sz w:val="18"/>
      <w:szCs w:val="18"/>
    </w:rPr>
  </w:style>
  <w:style w:type="paragraph" w:styleId="8">
    <w:name w:val="heading 6"/>
    <w:basedOn w:val="1"/>
    <w:next w:val="1"/>
    <w:qFormat/>
    <w:uiPriority w:val="0"/>
    <w:pPr>
      <w:keepNext/>
      <w:spacing w:line="400" w:lineRule="exact"/>
      <w:jc w:val="center"/>
      <w:outlineLvl w:val="5"/>
    </w:pPr>
    <w:rPr>
      <w:rFonts w:ascii="宋体" w:hAnsi="宋体"/>
      <w:sz w:val="30"/>
      <w:szCs w:val="24"/>
    </w:rPr>
  </w:style>
  <w:style w:type="paragraph" w:styleId="9">
    <w:name w:val="heading 8"/>
    <w:basedOn w:val="1"/>
    <w:next w:val="1"/>
    <w:link w:val="212"/>
    <w:qFormat/>
    <w:uiPriority w:val="0"/>
    <w:pPr>
      <w:keepNext/>
      <w:keepLines/>
      <w:spacing w:before="240" w:after="64" w:line="320" w:lineRule="auto"/>
      <w:outlineLvl w:val="7"/>
    </w:pPr>
    <w:rPr>
      <w:b/>
      <w:bCs/>
      <w:sz w:val="32"/>
      <w:szCs w:val="32"/>
    </w:rPr>
  </w:style>
  <w:style w:type="paragraph" w:styleId="10">
    <w:name w:val="heading 9"/>
    <w:basedOn w:val="1"/>
    <w:next w:val="1"/>
    <w:link w:val="209"/>
    <w:qFormat/>
    <w:uiPriority w:val="0"/>
    <w:pPr>
      <w:keepNext/>
      <w:keepLines/>
      <w:spacing w:before="240" w:after="64" w:line="320" w:lineRule="auto"/>
      <w:outlineLvl w:val="8"/>
    </w:pPr>
    <w:rPr>
      <w:rFonts w:ascii="仿宋_GB2312" w:eastAsia="仿宋_GB2312"/>
      <w:sz w:val="30"/>
      <w:szCs w:val="24"/>
    </w:rPr>
  </w:style>
  <w:style w:type="character" w:default="1" w:styleId="56">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2"/>
    <w:qFormat/>
    <w:uiPriority w:val="0"/>
    <w:pPr>
      <w:ind w:firstLine="420" w:firstLineChars="200"/>
    </w:pPr>
  </w:style>
  <w:style w:type="paragraph" w:styleId="11">
    <w:name w:val="toc 7"/>
    <w:basedOn w:val="1"/>
    <w:next w:val="1"/>
    <w:qFormat/>
    <w:uiPriority w:val="0"/>
    <w:pPr>
      <w:ind w:left="1260"/>
      <w:jc w:val="left"/>
    </w:pPr>
    <w:rPr>
      <w:rFonts w:ascii="Times New Roman" w:hAnsi="Times New Roman"/>
      <w:sz w:val="20"/>
      <w:szCs w:val="20"/>
    </w:rPr>
  </w:style>
  <w:style w:type="paragraph" w:styleId="12">
    <w:name w:val="Note Heading"/>
    <w:basedOn w:val="1"/>
    <w:next w:val="1"/>
    <w:semiHidden/>
    <w:qFormat/>
    <w:uiPriority w:val="0"/>
    <w:pPr>
      <w:jc w:val="center"/>
    </w:pPr>
    <w:rPr>
      <w:rFonts w:ascii="Times New Roman" w:hAnsi="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List Bullet"/>
    <w:basedOn w:val="1"/>
    <w:qFormat/>
    <w:uiPriority w:val="0"/>
    <w:pPr>
      <w:numPr>
        <w:ilvl w:val="0"/>
        <w:numId w:val="1"/>
      </w:numPr>
    </w:pPr>
    <w:rPr>
      <w:rFonts w:ascii="Times New Roman" w:hAnsi="Times New Roman"/>
      <w:szCs w:val="24"/>
    </w:rPr>
  </w:style>
  <w:style w:type="paragraph" w:styleId="15">
    <w:name w:val="Document Map"/>
    <w:basedOn w:val="1"/>
    <w:semiHidden/>
    <w:qFormat/>
    <w:uiPriority w:val="0"/>
    <w:pPr>
      <w:shd w:val="clear" w:color="auto" w:fill="000080"/>
      <w:suppressAutoHyphens/>
    </w:pPr>
    <w:rPr>
      <w:rFonts w:ascii="Times New Roman" w:hAnsi="Times New Roman"/>
      <w:kern w:val="1"/>
      <w:szCs w:val="24"/>
      <w:lang w:eastAsia="ar-SA"/>
    </w:rPr>
  </w:style>
  <w:style w:type="paragraph" w:styleId="16">
    <w:name w:val="annotation text"/>
    <w:basedOn w:val="1"/>
    <w:link w:val="91"/>
    <w:semiHidden/>
    <w:uiPriority w:val="99"/>
    <w:pPr>
      <w:jc w:val="left"/>
    </w:pPr>
    <w:rPr>
      <w:szCs w:val="24"/>
    </w:rPr>
  </w:style>
  <w:style w:type="paragraph" w:styleId="17">
    <w:name w:val="Salutation"/>
    <w:basedOn w:val="1"/>
    <w:next w:val="1"/>
    <w:qFormat/>
    <w:uiPriority w:val="0"/>
    <w:rPr>
      <w:rFonts w:ascii="仿宋_GB2312" w:hAnsi="宋体" w:eastAsia="仿宋_GB2312"/>
      <w:color w:val="000000"/>
      <w:sz w:val="32"/>
      <w:szCs w:val="20"/>
    </w:rPr>
  </w:style>
  <w:style w:type="paragraph" w:styleId="18">
    <w:name w:val="Body Text 3"/>
    <w:basedOn w:val="1"/>
    <w:uiPriority w:val="0"/>
    <w:pPr>
      <w:suppressAutoHyphens/>
      <w:spacing w:after="120"/>
    </w:pPr>
    <w:rPr>
      <w:rFonts w:ascii="Times New Roman" w:hAnsi="Times New Roman"/>
      <w:kern w:val="1"/>
      <w:sz w:val="16"/>
      <w:szCs w:val="16"/>
      <w:lang w:eastAsia="ar-SA"/>
    </w:rPr>
  </w:style>
  <w:style w:type="paragraph" w:styleId="19">
    <w:name w:val="Closing"/>
    <w:basedOn w:val="1"/>
    <w:qFormat/>
    <w:uiPriority w:val="0"/>
    <w:pPr>
      <w:ind w:left="100" w:leftChars="2100"/>
    </w:pPr>
    <w:rPr>
      <w:rFonts w:ascii="仿宋_GB2312" w:hAnsi="宋体" w:eastAsia="仿宋_GB2312"/>
      <w:color w:val="000000"/>
      <w:sz w:val="32"/>
      <w:szCs w:val="20"/>
    </w:rPr>
  </w:style>
  <w:style w:type="paragraph" w:styleId="20">
    <w:name w:val="Body Text"/>
    <w:basedOn w:val="1"/>
    <w:link w:val="161"/>
    <w:uiPriority w:val="0"/>
    <w:pPr>
      <w:spacing w:after="120"/>
    </w:pPr>
    <w:rPr>
      <w:szCs w:val="20"/>
    </w:rPr>
  </w:style>
  <w:style w:type="paragraph" w:styleId="21">
    <w:name w:val="Body Text Indent"/>
    <w:basedOn w:val="1"/>
    <w:link w:val="170"/>
    <w:uiPriority w:val="0"/>
    <w:pPr>
      <w:ind w:firstLine="640"/>
    </w:pPr>
    <w:rPr>
      <w:rFonts w:eastAsia="仿宋_GB2312"/>
      <w:sz w:val="32"/>
      <w:szCs w:val="20"/>
    </w:rPr>
  </w:style>
  <w:style w:type="paragraph" w:styleId="22">
    <w:name w:val="List 2"/>
    <w:basedOn w:val="1"/>
    <w:qFormat/>
    <w:uiPriority w:val="0"/>
    <w:pPr>
      <w:suppressAutoHyphens/>
      <w:ind w:left="100" w:leftChars="200" w:hanging="200" w:hangingChars="200"/>
    </w:pPr>
    <w:rPr>
      <w:rFonts w:ascii="Times New Roman" w:hAnsi="Times New Roman"/>
      <w:kern w:val="1"/>
      <w:szCs w:val="24"/>
      <w:lang w:eastAsia="ar-SA"/>
    </w:rPr>
  </w:style>
  <w:style w:type="paragraph" w:styleId="23">
    <w:name w:val="Block Text"/>
    <w:basedOn w:val="1"/>
    <w:qFormat/>
    <w:uiPriority w:val="0"/>
    <w:pPr>
      <w:autoSpaceDE w:val="0"/>
      <w:autoSpaceDN w:val="0"/>
      <w:adjustRightInd w:val="0"/>
      <w:ind w:left="-109" w:right="-94"/>
    </w:pPr>
    <w:rPr>
      <w:rFonts w:ascii="仿宋_GB2312" w:hAnsi="Times New Roman" w:eastAsia="仿宋_GB2312"/>
      <w:sz w:val="24"/>
      <w:szCs w:val="24"/>
    </w:rPr>
  </w:style>
  <w:style w:type="paragraph" w:styleId="24">
    <w:name w:val="HTML Address"/>
    <w:basedOn w:val="1"/>
    <w:unhideWhenUsed/>
    <w:qFormat/>
    <w:uiPriority w:val="0"/>
    <w:pPr>
      <w:widowControl/>
      <w:jc w:val="left"/>
    </w:pPr>
    <w:rPr>
      <w:rFonts w:ascii="宋体" w:hAnsi="宋体" w:cs="宋体"/>
      <w:i/>
      <w:iCs/>
      <w:kern w:val="0"/>
      <w:sz w:val="24"/>
      <w:szCs w:val="24"/>
    </w:rPr>
  </w:style>
  <w:style w:type="paragraph" w:styleId="25">
    <w:name w:val="toc 5"/>
    <w:basedOn w:val="1"/>
    <w:next w:val="1"/>
    <w:qFormat/>
    <w:uiPriority w:val="0"/>
    <w:pPr>
      <w:ind w:left="840"/>
      <w:jc w:val="left"/>
    </w:pPr>
    <w:rPr>
      <w:rFonts w:ascii="Times New Roman" w:hAnsi="Times New Roman"/>
      <w:sz w:val="20"/>
      <w:szCs w:val="20"/>
    </w:rPr>
  </w:style>
  <w:style w:type="paragraph" w:styleId="26">
    <w:name w:val="toc 3"/>
    <w:basedOn w:val="1"/>
    <w:next w:val="1"/>
    <w:uiPriority w:val="0"/>
    <w:pPr>
      <w:ind w:left="420"/>
      <w:jc w:val="left"/>
    </w:pPr>
    <w:rPr>
      <w:rFonts w:ascii="Times New Roman" w:hAnsi="Times New Roman"/>
      <w:sz w:val="28"/>
      <w:szCs w:val="20"/>
    </w:rPr>
  </w:style>
  <w:style w:type="paragraph" w:styleId="27">
    <w:name w:val="Plain Text"/>
    <w:basedOn w:val="1"/>
    <w:link w:val="176"/>
    <w:qFormat/>
    <w:uiPriority w:val="0"/>
    <w:rPr>
      <w:rFonts w:ascii="宋体" w:hAnsi="Courier New"/>
      <w:szCs w:val="20"/>
    </w:rPr>
  </w:style>
  <w:style w:type="paragraph" w:styleId="28">
    <w:name w:val="toc 8"/>
    <w:basedOn w:val="1"/>
    <w:next w:val="1"/>
    <w:uiPriority w:val="0"/>
    <w:pPr>
      <w:ind w:left="1470"/>
      <w:jc w:val="left"/>
    </w:pPr>
    <w:rPr>
      <w:rFonts w:ascii="Times New Roman" w:hAnsi="Times New Roman"/>
      <w:sz w:val="20"/>
      <w:szCs w:val="20"/>
    </w:rPr>
  </w:style>
  <w:style w:type="paragraph" w:styleId="29">
    <w:name w:val="Date"/>
    <w:basedOn w:val="1"/>
    <w:next w:val="1"/>
    <w:link w:val="99"/>
    <w:qFormat/>
    <w:uiPriority w:val="0"/>
    <w:pPr>
      <w:ind w:left="100" w:leftChars="2500"/>
    </w:pPr>
  </w:style>
  <w:style w:type="paragraph" w:styleId="30">
    <w:name w:val="Body Text Indent 2"/>
    <w:basedOn w:val="1"/>
    <w:link w:val="104"/>
    <w:qFormat/>
    <w:uiPriority w:val="0"/>
    <w:pPr>
      <w:spacing w:after="120" w:line="480" w:lineRule="auto"/>
      <w:ind w:left="420" w:leftChars="200"/>
    </w:pPr>
  </w:style>
  <w:style w:type="paragraph" w:styleId="31">
    <w:name w:val="endnote text"/>
    <w:basedOn w:val="1"/>
    <w:qFormat/>
    <w:uiPriority w:val="0"/>
    <w:pPr>
      <w:snapToGrid w:val="0"/>
      <w:jc w:val="left"/>
    </w:pPr>
    <w:rPr>
      <w:rFonts w:ascii="Times New Roman" w:hAnsi="Times New Roman"/>
      <w:szCs w:val="24"/>
    </w:rPr>
  </w:style>
  <w:style w:type="paragraph" w:styleId="32">
    <w:name w:val="Balloon Text"/>
    <w:basedOn w:val="1"/>
    <w:link w:val="150"/>
    <w:semiHidden/>
    <w:qFormat/>
    <w:uiPriority w:val="99"/>
    <w:rPr>
      <w:sz w:val="18"/>
      <w:szCs w:val="18"/>
    </w:rPr>
  </w:style>
  <w:style w:type="paragraph" w:styleId="33">
    <w:name w:val="footer"/>
    <w:basedOn w:val="1"/>
    <w:link w:val="129"/>
    <w:unhideWhenUsed/>
    <w:qFormat/>
    <w:uiPriority w:val="99"/>
    <w:pPr>
      <w:tabs>
        <w:tab w:val="center" w:pos="4153"/>
        <w:tab w:val="right" w:pos="8306"/>
      </w:tabs>
      <w:snapToGrid w:val="0"/>
      <w:jc w:val="left"/>
    </w:pPr>
    <w:rPr>
      <w:sz w:val="18"/>
      <w:szCs w:val="18"/>
    </w:rPr>
  </w:style>
  <w:style w:type="paragraph" w:styleId="34">
    <w:name w:val="header"/>
    <w:basedOn w:val="1"/>
    <w:link w:val="291"/>
    <w:unhideWhenUsed/>
    <w:qFormat/>
    <w:uiPriority w:val="99"/>
    <w:pPr>
      <w:pBdr>
        <w:bottom w:val="single" w:color="auto" w:sz="6" w:space="1"/>
      </w:pBdr>
      <w:tabs>
        <w:tab w:val="center" w:pos="4320"/>
        <w:tab w:val="right" w:pos="8640"/>
      </w:tabs>
      <w:snapToGrid w:val="0"/>
      <w:jc w:val="center"/>
    </w:pPr>
    <w:rPr>
      <w:sz w:val="18"/>
      <w:szCs w:val="18"/>
    </w:rPr>
  </w:style>
  <w:style w:type="paragraph" w:styleId="35">
    <w:name w:val="toc 1"/>
    <w:basedOn w:val="1"/>
    <w:next w:val="1"/>
    <w:semiHidden/>
    <w:qFormat/>
    <w:uiPriority w:val="0"/>
    <w:pPr>
      <w:spacing w:line="580" w:lineRule="exact"/>
      <w:jc w:val="right"/>
    </w:pPr>
    <w:rPr>
      <w:rFonts w:ascii="仿宋_GB2312" w:hAnsi="宋体" w:eastAsia="仿宋_GB2312"/>
      <w:bCs/>
      <w:caps/>
      <w:sz w:val="32"/>
      <w:szCs w:val="32"/>
    </w:rPr>
  </w:style>
  <w:style w:type="paragraph" w:styleId="36">
    <w:name w:val="toc 4"/>
    <w:basedOn w:val="1"/>
    <w:next w:val="1"/>
    <w:uiPriority w:val="0"/>
    <w:pPr>
      <w:ind w:left="630"/>
      <w:jc w:val="left"/>
    </w:pPr>
    <w:rPr>
      <w:rFonts w:ascii="Times New Roman" w:hAnsi="Times New Roman"/>
      <w:sz w:val="20"/>
      <w:szCs w:val="20"/>
    </w:rPr>
  </w:style>
  <w:style w:type="paragraph" w:styleId="37">
    <w:name w:val="index heading"/>
    <w:basedOn w:val="1"/>
    <w:next w:val="38"/>
    <w:qFormat/>
    <w:uiPriority w:val="0"/>
    <w:pPr>
      <w:spacing w:before="240" w:after="120"/>
      <w:jc w:val="center"/>
    </w:pPr>
    <w:rPr>
      <w:b/>
      <w:bCs/>
      <w:sz w:val="26"/>
      <w:szCs w:val="26"/>
    </w:rPr>
  </w:style>
  <w:style w:type="paragraph" w:styleId="38">
    <w:name w:val="index 1"/>
    <w:basedOn w:val="1"/>
    <w:next w:val="1"/>
    <w:qFormat/>
    <w:uiPriority w:val="0"/>
    <w:pPr>
      <w:tabs>
        <w:tab w:val="right" w:leader="dot" w:pos="3969"/>
      </w:tabs>
      <w:spacing w:line="480" w:lineRule="exact"/>
      <w:ind w:left="210" w:hanging="210"/>
      <w:jc w:val="left"/>
    </w:pPr>
    <w:rPr>
      <w:sz w:val="18"/>
      <w:szCs w:val="18"/>
    </w:rPr>
  </w:style>
  <w:style w:type="paragraph" w:styleId="39">
    <w:name w:val="Subtitle"/>
    <w:basedOn w:val="1"/>
    <w:next w:val="1"/>
    <w:link w:val="117"/>
    <w:qFormat/>
    <w:uiPriority w:val="0"/>
    <w:pPr>
      <w:spacing w:before="120" w:after="120" w:line="360" w:lineRule="auto"/>
      <w:ind w:firstLine="200" w:firstLineChars="200"/>
      <w:jc w:val="left"/>
      <w:outlineLvl w:val="1"/>
    </w:pPr>
    <w:rPr>
      <w:rFonts w:ascii="Cambria" w:hAnsi="Cambria" w:eastAsia="仿宋"/>
      <w:bCs/>
      <w:kern w:val="28"/>
      <w:sz w:val="32"/>
      <w:szCs w:val="32"/>
    </w:rPr>
  </w:style>
  <w:style w:type="paragraph" w:styleId="40">
    <w:name w:val="List"/>
    <w:basedOn w:val="20"/>
    <w:uiPriority w:val="0"/>
    <w:pPr>
      <w:suppressAutoHyphens/>
      <w:ind w:firstLine="420"/>
    </w:pPr>
    <w:rPr>
      <w:rFonts w:cs="Tahoma"/>
      <w:kern w:val="1"/>
      <w:szCs w:val="21"/>
      <w:lang w:eastAsia="ar-SA"/>
    </w:rPr>
  </w:style>
  <w:style w:type="paragraph" w:styleId="41">
    <w:name w:val="footnote text"/>
    <w:basedOn w:val="1"/>
    <w:semiHidden/>
    <w:qFormat/>
    <w:uiPriority w:val="0"/>
    <w:pPr>
      <w:snapToGrid w:val="0"/>
      <w:jc w:val="left"/>
    </w:pPr>
    <w:rPr>
      <w:rFonts w:ascii="Times New Roman" w:hAnsi="Times New Roman"/>
      <w:sz w:val="18"/>
      <w:szCs w:val="18"/>
    </w:rPr>
  </w:style>
  <w:style w:type="paragraph" w:styleId="42">
    <w:name w:val="toc 6"/>
    <w:basedOn w:val="1"/>
    <w:next w:val="1"/>
    <w:qFormat/>
    <w:uiPriority w:val="0"/>
    <w:pPr>
      <w:ind w:left="1050"/>
      <w:jc w:val="left"/>
    </w:pPr>
    <w:rPr>
      <w:rFonts w:ascii="Times New Roman" w:hAnsi="Times New Roman"/>
      <w:sz w:val="20"/>
      <w:szCs w:val="20"/>
    </w:rPr>
  </w:style>
  <w:style w:type="paragraph" w:styleId="43">
    <w:name w:val="Body Text Indent 3"/>
    <w:basedOn w:val="1"/>
    <w:link w:val="79"/>
    <w:uiPriority w:val="0"/>
    <w:pPr>
      <w:ind w:firstLine="1080"/>
      <w:jc w:val="center"/>
    </w:pPr>
    <w:rPr>
      <w:rFonts w:eastAsia="黑体"/>
      <w:sz w:val="36"/>
      <w:szCs w:val="20"/>
    </w:rPr>
  </w:style>
  <w:style w:type="paragraph" w:styleId="44">
    <w:name w:val="table of figures"/>
    <w:basedOn w:val="1"/>
    <w:next w:val="1"/>
    <w:semiHidden/>
    <w:qFormat/>
    <w:uiPriority w:val="0"/>
    <w:pPr>
      <w:ind w:left="200" w:leftChars="200" w:hanging="200" w:hangingChars="200"/>
    </w:pPr>
    <w:rPr>
      <w:rFonts w:ascii="Times New Roman" w:hAnsi="Times New Roman"/>
      <w:szCs w:val="24"/>
    </w:rPr>
  </w:style>
  <w:style w:type="paragraph" w:styleId="45">
    <w:name w:val="toc 2"/>
    <w:basedOn w:val="1"/>
    <w:next w:val="1"/>
    <w:qFormat/>
    <w:uiPriority w:val="0"/>
    <w:pPr>
      <w:tabs>
        <w:tab w:val="right" w:leader="dot" w:pos="8296"/>
      </w:tabs>
      <w:spacing w:before="120"/>
      <w:ind w:left="210"/>
      <w:jc w:val="left"/>
    </w:pPr>
    <w:rPr>
      <w:rFonts w:ascii="宋体" w:hAnsi="宋体" w:eastAsia="楷体_GB2312"/>
      <w:bCs/>
      <w:sz w:val="28"/>
    </w:rPr>
  </w:style>
  <w:style w:type="paragraph" w:styleId="46">
    <w:name w:val="toc 9"/>
    <w:basedOn w:val="1"/>
    <w:next w:val="1"/>
    <w:qFormat/>
    <w:uiPriority w:val="0"/>
    <w:pPr>
      <w:ind w:left="1680"/>
      <w:jc w:val="left"/>
    </w:pPr>
    <w:rPr>
      <w:rFonts w:ascii="Times New Roman" w:hAnsi="Times New Roman"/>
      <w:sz w:val="20"/>
      <w:szCs w:val="20"/>
    </w:rPr>
  </w:style>
  <w:style w:type="paragraph" w:styleId="47">
    <w:name w:val="Body Text 2"/>
    <w:basedOn w:val="1"/>
    <w:uiPriority w:val="0"/>
    <w:pPr>
      <w:spacing w:line="380" w:lineRule="exact"/>
      <w:jc w:val="center"/>
    </w:pPr>
    <w:rPr>
      <w:rFonts w:ascii="仿宋_GB2312" w:hAnsi="Times New Roman" w:eastAsia="仿宋_GB2312"/>
      <w:sz w:val="24"/>
      <w:szCs w:val="24"/>
    </w:r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9">
    <w:name w:val="Normal (Web)"/>
    <w:basedOn w:val="1"/>
    <w:link w:val="108"/>
    <w:qFormat/>
    <w:uiPriority w:val="99"/>
    <w:pPr>
      <w:widowControl/>
      <w:spacing w:before="100" w:beforeAutospacing="1" w:after="100" w:afterAutospacing="1"/>
      <w:jc w:val="left"/>
    </w:pPr>
    <w:rPr>
      <w:kern w:val="0"/>
      <w:sz w:val="24"/>
      <w:szCs w:val="24"/>
    </w:rPr>
  </w:style>
  <w:style w:type="paragraph" w:styleId="50">
    <w:name w:val="Title"/>
    <w:basedOn w:val="1"/>
    <w:link w:val="133"/>
    <w:qFormat/>
    <w:uiPriority w:val="0"/>
    <w:pPr>
      <w:spacing w:line="580" w:lineRule="exact"/>
      <w:jc w:val="center"/>
      <w:outlineLvl w:val="0"/>
    </w:pPr>
    <w:rPr>
      <w:rFonts w:ascii="Arial" w:hAnsi="Arial" w:eastAsia="隶书" w:cs="Arial"/>
      <w:b/>
      <w:bCs/>
      <w:sz w:val="44"/>
      <w:szCs w:val="32"/>
    </w:rPr>
  </w:style>
  <w:style w:type="paragraph" w:styleId="51">
    <w:name w:val="annotation subject"/>
    <w:basedOn w:val="16"/>
    <w:next w:val="16"/>
    <w:uiPriority w:val="0"/>
    <w:rPr>
      <w:b/>
      <w:bCs/>
    </w:rPr>
  </w:style>
  <w:style w:type="paragraph" w:styleId="52">
    <w:name w:val="Body Text First Indent"/>
    <w:basedOn w:val="20"/>
    <w:uiPriority w:val="0"/>
    <w:pPr>
      <w:suppressAutoHyphens/>
      <w:ind w:firstLine="420" w:firstLineChars="100"/>
    </w:pPr>
    <w:rPr>
      <w:kern w:val="1"/>
      <w:szCs w:val="24"/>
      <w:lang w:eastAsia="ar-SA"/>
    </w:rPr>
  </w:style>
  <w:style w:type="table" w:styleId="54">
    <w:name w:val="Table Grid"/>
    <w:basedOn w:val="5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5">
    <w:name w:val="Table Contemporary"/>
    <w:basedOn w:val="53"/>
    <w:uiPriority w:val="0"/>
    <w:pPr>
      <w:widowControl w:val="0"/>
      <w:jc w:val="center"/>
    </w:pPr>
    <w:tblPr>
      <w:jc w:val="center"/>
      <w:tblBorders>
        <w:insideH w:val="single" w:color="FFFFFF" w:sz="18" w:space="0"/>
        <w:insideV w:val="single" w:color="FFFFFF" w:sz="18"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57">
    <w:name w:val="Strong"/>
    <w:qFormat/>
    <w:uiPriority w:val="22"/>
    <w:rPr>
      <w:b/>
      <w:bCs/>
    </w:rPr>
  </w:style>
  <w:style w:type="character" w:styleId="58">
    <w:name w:val="endnote reference"/>
    <w:qFormat/>
    <w:uiPriority w:val="0"/>
    <w:rPr>
      <w:vertAlign w:val="superscript"/>
    </w:rPr>
  </w:style>
  <w:style w:type="character" w:styleId="59">
    <w:name w:val="page number"/>
    <w:basedOn w:val="56"/>
    <w:qFormat/>
    <w:uiPriority w:val="0"/>
  </w:style>
  <w:style w:type="character" w:styleId="60">
    <w:name w:val="FollowedHyperlink"/>
    <w:qFormat/>
    <w:uiPriority w:val="0"/>
    <w:rPr>
      <w:rFonts w:eastAsia="宋体"/>
      <w:color w:val="800080"/>
      <w:kern w:val="36"/>
      <w:sz w:val="36"/>
      <w:szCs w:val="24"/>
      <w:u w:val="single"/>
      <w:lang w:val="en-US" w:eastAsia="zh-CN" w:bidi="ar-SA"/>
    </w:rPr>
  </w:style>
  <w:style w:type="character" w:styleId="61">
    <w:name w:val="Emphasis"/>
    <w:qFormat/>
    <w:uiPriority w:val="0"/>
    <w:rPr>
      <w:rFonts w:eastAsia="宋体"/>
      <w:i/>
      <w:iCs/>
      <w:kern w:val="36"/>
      <w:sz w:val="36"/>
      <w:szCs w:val="24"/>
      <w:lang w:val="en-US" w:eastAsia="zh-CN" w:bidi="ar-SA"/>
    </w:rPr>
  </w:style>
  <w:style w:type="character" w:styleId="62">
    <w:name w:val="HTML Typewriter"/>
    <w:qFormat/>
    <w:uiPriority w:val="0"/>
    <w:rPr>
      <w:rFonts w:ascii="黑体" w:hAnsi="Courier New" w:eastAsia="黑体" w:cs="Courier New"/>
      <w:sz w:val="20"/>
      <w:szCs w:val="20"/>
    </w:rPr>
  </w:style>
  <w:style w:type="character" w:styleId="63">
    <w:name w:val="Hyperlink"/>
    <w:qFormat/>
    <w:uiPriority w:val="0"/>
    <w:rPr>
      <w:color w:val="0000FF"/>
      <w:u w:val="single"/>
    </w:rPr>
  </w:style>
  <w:style w:type="character" w:styleId="64">
    <w:name w:val="annotation reference"/>
    <w:semiHidden/>
    <w:qFormat/>
    <w:uiPriority w:val="99"/>
    <w:rPr>
      <w:sz w:val="21"/>
      <w:szCs w:val="21"/>
    </w:rPr>
  </w:style>
  <w:style w:type="character" w:styleId="65">
    <w:name w:val="footnote reference"/>
    <w:semiHidden/>
    <w:qFormat/>
    <w:uiPriority w:val="0"/>
    <w:rPr>
      <w:vertAlign w:val="superscript"/>
    </w:rPr>
  </w:style>
  <w:style w:type="character" w:customStyle="1" w:styleId="66">
    <w:name w:val="标题 1 Char"/>
    <w:link w:val="2"/>
    <w:qFormat/>
    <w:locked/>
    <w:uiPriority w:val="0"/>
    <w:rPr>
      <w:rFonts w:ascii="宋体" w:hAnsi="宋体" w:eastAsia="宋体"/>
      <w:bCs/>
      <w:kern w:val="44"/>
      <w:sz w:val="24"/>
      <w:szCs w:val="24"/>
      <w:shd w:val="clear" w:color="auto" w:fill="FFFFFF"/>
    </w:rPr>
  </w:style>
  <w:style w:type="character" w:customStyle="1" w:styleId="67">
    <w:name w:val="标题 2 Char"/>
    <w:link w:val="3"/>
    <w:qFormat/>
    <w:uiPriority w:val="0"/>
    <w:rPr>
      <w:rFonts w:ascii="Arial" w:hAnsi="Arial" w:eastAsia="黑体"/>
      <w:b/>
      <w:bCs/>
      <w:kern w:val="2"/>
      <w:sz w:val="32"/>
      <w:szCs w:val="32"/>
      <w:lang w:val="en-US" w:eastAsia="zh-CN" w:bidi="ar-SA"/>
    </w:rPr>
  </w:style>
  <w:style w:type="character" w:customStyle="1" w:styleId="68">
    <w:name w:val="标题 3 Char"/>
    <w:qFormat/>
    <w:uiPriority w:val="0"/>
    <w:rPr>
      <w:rFonts w:hint="eastAsia" w:ascii="黑体" w:hAnsi="Calibri" w:eastAsia="黑体"/>
      <w:b/>
      <w:bCs/>
      <w:sz w:val="32"/>
      <w:szCs w:val="32"/>
      <w:lang w:val="en-US" w:eastAsia="zh-CN" w:bidi="ar-SA"/>
    </w:rPr>
  </w:style>
  <w:style w:type="character" w:customStyle="1" w:styleId="69">
    <w:name w:val="Char Char17"/>
    <w:qFormat/>
    <w:locked/>
    <w:uiPriority w:val="0"/>
    <w:rPr>
      <w:rFonts w:eastAsia="宋体"/>
      <w:b/>
      <w:bCs/>
      <w:kern w:val="44"/>
      <w:sz w:val="36"/>
      <w:szCs w:val="36"/>
      <w:lang w:val="en-US" w:eastAsia="zh-CN" w:bidi="ar-SA"/>
    </w:rPr>
  </w:style>
  <w:style w:type="character" w:customStyle="1" w:styleId="70">
    <w:name w:val="wordblack14b1"/>
    <w:uiPriority w:val="0"/>
    <w:rPr>
      <w:rFonts w:eastAsia="宋体"/>
      <w:b/>
      <w:bCs/>
      <w:color w:val="000000"/>
      <w:kern w:val="36"/>
      <w:sz w:val="30"/>
      <w:szCs w:val="30"/>
      <w:u w:val="none"/>
      <w:lang w:val="en-US" w:eastAsia="zh-CN" w:bidi="ar-SA"/>
    </w:rPr>
  </w:style>
  <w:style w:type="character" w:customStyle="1" w:styleId="71">
    <w:name w:val="标题 4 Char"/>
    <w:link w:val="6"/>
    <w:semiHidden/>
    <w:qFormat/>
    <w:uiPriority w:val="0"/>
    <w:rPr>
      <w:rFonts w:ascii="宋体" w:hAnsi="宋体" w:eastAsia="仿宋_GB2312"/>
      <w:kern w:val="2"/>
      <w:sz w:val="24"/>
      <w:szCs w:val="28"/>
      <w:lang w:val="en-US" w:eastAsia="zh-CN" w:bidi="ar-SA"/>
    </w:rPr>
  </w:style>
  <w:style w:type="character" w:customStyle="1" w:styleId="72">
    <w:name w:val="hei141"/>
    <w:qFormat/>
    <w:uiPriority w:val="0"/>
    <w:rPr>
      <w:rFonts w:ascii="宋体" w:hAnsi="宋体" w:eastAsia="宋体"/>
      <w:color w:val="000000"/>
      <w:sz w:val="21"/>
      <w:u w:val="none"/>
    </w:rPr>
  </w:style>
  <w:style w:type="character" w:customStyle="1" w:styleId="73">
    <w:name w:val="ggtitle"/>
    <w:qFormat/>
    <w:uiPriority w:val="0"/>
    <w:rPr>
      <w:rFonts w:eastAsia="宋体"/>
      <w:kern w:val="36"/>
      <w:sz w:val="36"/>
      <w:szCs w:val="24"/>
      <w:lang w:val="en-US" w:eastAsia="zh-CN" w:bidi="ar-SA"/>
    </w:rPr>
  </w:style>
  <w:style w:type="character" w:customStyle="1" w:styleId="74">
    <w:name w:val="页眉 Char"/>
    <w:qFormat/>
    <w:uiPriority w:val="99"/>
    <w:rPr>
      <w:rFonts w:ascii="Calibri" w:hAnsi="Calibri" w:eastAsia="宋体" w:cs="Times New Roman"/>
      <w:sz w:val="18"/>
      <w:szCs w:val="18"/>
    </w:rPr>
  </w:style>
  <w:style w:type="character" w:customStyle="1" w:styleId="75">
    <w:name w:val="leftword1"/>
    <w:qFormat/>
    <w:uiPriority w:val="0"/>
    <w:rPr>
      <w:rFonts w:hint="default" w:eastAsia="宋体"/>
      <w:color w:val="000000"/>
      <w:kern w:val="36"/>
      <w:sz w:val="20"/>
      <w:szCs w:val="20"/>
      <w:lang w:val="en-US" w:eastAsia="zh-CN" w:bidi="ar-SA"/>
    </w:rPr>
  </w:style>
  <w:style w:type="character" w:customStyle="1" w:styleId="76">
    <w:name w:val="正文文 Char"/>
    <w:link w:val="77"/>
    <w:qFormat/>
    <w:locked/>
    <w:uiPriority w:val="0"/>
    <w:rPr>
      <w:rFonts w:eastAsia="仿宋_GB2312"/>
      <w:kern w:val="21"/>
      <w:sz w:val="32"/>
      <w:szCs w:val="28"/>
      <w:lang w:val="en-US" w:eastAsia="zh-CN" w:bidi="ar-SA"/>
    </w:rPr>
  </w:style>
  <w:style w:type="paragraph" w:customStyle="1" w:styleId="77">
    <w:name w:val="正文文"/>
    <w:link w:val="76"/>
    <w:qFormat/>
    <w:uiPriority w:val="0"/>
    <w:pPr>
      <w:ind w:firstLine="200" w:firstLineChars="200"/>
      <w:jc w:val="both"/>
    </w:pPr>
    <w:rPr>
      <w:rFonts w:ascii="Calibri" w:hAnsi="Calibri" w:eastAsia="仿宋_GB2312" w:cs="Times New Roman"/>
      <w:kern w:val="21"/>
      <w:sz w:val="32"/>
      <w:szCs w:val="28"/>
      <w:lang w:val="en-US" w:eastAsia="zh-CN" w:bidi="ar-SA"/>
    </w:rPr>
  </w:style>
  <w:style w:type="character" w:customStyle="1" w:styleId="78">
    <w:name w:val="Heading 2 Char"/>
    <w:qFormat/>
    <w:locked/>
    <w:uiPriority w:val="0"/>
    <w:rPr>
      <w:rFonts w:ascii="Arial" w:hAnsi="Arial" w:eastAsia="黑体"/>
      <w:b/>
      <w:bCs/>
      <w:kern w:val="2"/>
      <w:sz w:val="32"/>
      <w:szCs w:val="32"/>
      <w:lang w:val="en-US" w:eastAsia="zh-CN" w:bidi="ar-SA"/>
    </w:rPr>
  </w:style>
  <w:style w:type="character" w:customStyle="1" w:styleId="79">
    <w:name w:val="正文文本缩进 3 Char"/>
    <w:link w:val="43"/>
    <w:qFormat/>
    <w:uiPriority w:val="0"/>
    <w:rPr>
      <w:rFonts w:eastAsia="黑体"/>
      <w:kern w:val="2"/>
      <w:sz w:val="36"/>
      <w:lang w:val="en-US" w:eastAsia="zh-CN" w:bidi="ar-SA"/>
    </w:rPr>
  </w:style>
  <w:style w:type="character" w:customStyle="1" w:styleId="80">
    <w:name w:val="样式 正文缩进表正文正文非缩进特点body text鋘drad???ändBody Text(ch)正文（首行缩...1 Char"/>
    <w:link w:val="81"/>
    <w:qFormat/>
    <w:uiPriority w:val="0"/>
    <w:rPr>
      <w:rFonts w:eastAsia="宋体"/>
      <w:kern w:val="2"/>
      <w:sz w:val="28"/>
      <w:szCs w:val="24"/>
      <w:lang w:val="en-US" w:eastAsia="zh-CN" w:bidi="ar-SA"/>
    </w:rPr>
  </w:style>
  <w:style w:type="paragraph" w:customStyle="1" w:styleId="81">
    <w:name w:val="样式 正文缩进表正文正文非缩进特点body text鋘drad???ändBody Text(ch)正文（首行缩...1"/>
    <w:basedOn w:val="5"/>
    <w:link w:val="80"/>
    <w:qFormat/>
    <w:uiPriority w:val="0"/>
    <w:rPr>
      <w:sz w:val="28"/>
      <w:szCs w:val="24"/>
    </w:rPr>
  </w:style>
  <w:style w:type="character" w:customStyle="1" w:styleId="82">
    <w:name w:val="ca-11"/>
    <w:qFormat/>
    <w:uiPriority w:val="0"/>
    <w:rPr>
      <w:rFonts w:hint="eastAsia" w:ascii="宋体" w:hAnsi="宋体" w:eastAsia="宋体"/>
      <w:b/>
      <w:bCs/>
      <w:spacing w:val="-20"/>
      <w:kern w:val="36"/>
      <w:sz w:val="44"/>
      <w:szCs w:val="44"/>
      <w:lang w:val="en-US" w:eastAsia="zh-CN" w:bidi="ar-SA"/>
    </w:rPr>
  </w:style>
  <w:style w:type="character" w:customStyle="1" w:styleId="83">
    <w:name w:val="headline-content2"/>
    <w:basedOn w:val="56"/>
    <w:qFormat/>
    <w:uiPriority w:val="0"/>
  </w:style>
  <w:style w:type="character" w:customStyle="1" w:styleId="84">
    <w:name w:val="标题2 Char"/>
    <w:link w:val="85"/>
    <w:qFormat/>
    <w:locked/>
    <w:uiPriority w:val="0"/>
    <w:rPr>
      <w:rFonts w:ascii="仿宋_GB2312" w:hAnsi="华文仿宋" w:eastAsia="仿宋_GB2312"/>
      <w:b/>
      <w:bCs/>
      <w:kern w:val="2"/>
      <w:sz w:val="28"/>
      <w:szCs w:val="28"/>
      <w:lang w:val="en-US" w:eastAsia="zh-CN" w:bidi="ar-SA"/>
    </w:rPr>
  </w:style>
  <w:style w:type="paragraph" w:customStyle="1" w:styleId="85">
    <w:name w:val="标题2"/>
    <w:basedOn w:val="86"/>
    <w:link w:val="84"/>
    <w:qFormat/>
    <w:uiPriority w:val="0"/>
    <w:pPr>
      <w:spacing w:before="120" w:after="120"/>
      <w:ind w:left="0" w:firstLine="0"/>
    </w:pPr>
    <w:rPr>
      <w:sz w:val="28"/>
      <w:szCs w:val="28"/>
    </w:rPr>
  </w:style>
  <w:style w:type="paragraph" w:customStyle="1" w:styleId="86">
    <w:name w:val="条文 22"/>
    <w:basedOn w:val="10"/>
    <w:qFormat/>
    <w:uiPriority w:val="0"/>
    <w:pPr>
      <w:spacing w:line="360" w:lineRule="auto"/>
      <w:ind w:left="600" w:hanging="420"/>
    </w:pPr>
    <w:rPr>
      <w:rFonts w:hAnsi="华文仿宋"/>
      <w:b/>
      <w:bCs/>
      <w:szCs w:val="30"/>
    </w:rPr>
  </w:style>
  <w:style w:type="character" w:customStyle="1" w:styleId="87">
    <w:name w:val="highlight1"/>
    <w:qFormat/>
    <w:uiPriority w:val="0"/>
    <w:rPr>
      <w:rFonts w:eastAsia="宋体"/>
      <w:kern w:val="36"/>
      <w:sz w:val="18"/>
      <w:szCs w:val="18"/>
      <w:lang w:val="en-US" w:eastAsia="zh-CN" w:bidi="ar-SA"/>
    </w:rPr>
  </w:style>
  <w:style w:type="character" w:customStyle="1" w:styleId="88">
    <w:name w:val="Char Char13"/>
    <w:qFormat/>
    <w:uiPriority w:val="0"/>
    <w:rPr>
      <w:rFonts w:ascii="Calibri" w:hAnsi="Calibri" w:eastAsia="宋体"/>
      <w:kern w:val="2"/>
      <w:sz w:val="21"/>
      <w:szCs w:val="22"/>
      <w:lang w:val="en-US" w:eastAsia="zh-CN" w:bidi="ar-SA"/>
    </w:rPr>
  </w:style>
  <w:style w:type="character" w:customStyle="1" w:styleId="89">
    <w:name w:val="defaultfont"/>
    <w:qFormat/>
    <w:uiPriority w:val="0"/>
    <w:rPr>
      <w:rFonts w:eastAsia="宋体"/>
      <w:kern w:val="36"/>
      <w:sz w:val="36"/>
      <w:szCs w:val="24"/>
      <w:lang w:val="en-US" w:eastAsia="zh-CN" w:bidi="ar-SA"/>
    </w:rPr>
  </w:style>
  <w:style w:type="character" w:customStyle="1" w:styleId="90">
    <w:name w:val="页脚 Char1"/>
    <w:qFormat/>
    <w:uiPriority w:val="0"/>
    <w:rPr>
      <w:kern w:val="2"/>
      <w:sz w:val="18"/>
      <w:szCs w:val="18"/>
    </w:rPr>
  </w:style>
  <w:style w:type="character" w:customStyle="1" w:styleId="91">
    <w:name w:val="批注文字 Char"/>
    <w:link w:val="16"/>
    <w:qFormat/>
    <w:uiPriority w:val="99"/>
    <w:rPr>
      <w:rFonts w:eastAsia="宋体"/>
      <w:kern w:val="2"/>
      <w:sz w:val="21"/>
      <w:szCs w:val="24"/>
      <w:lang w:val="en-US" w:eastAsia="zh-CN" w:bidi="ar-SA"/>
    </w:rPr>
  </w:style>
  <w:style w:type="character" w:customStyle="1" w:styleId="92">
    <w:name w:val="日期 Char1"/>
    <w:basedOn w:val="56"/>
    <w:semiHidden/>
    <w:qFormat/>
    <w:uiPriority w:val="0"/>
  </w:style>
  <w:style w:type="character" w:customStyle="1" w:styleId="93">
    <w:name w:val="Char Char3"/>
    <w:qFormat/>
    <w:uiPriority w:val="0"/>
    <w:rPr>
      <w:rFonts w:ascii="Arial" w:hAnsi="Arial" w:eastAsia="黑体"/>
      <w:b/>
      <w:bCs/>
      <w:kern w:val="2"/>
      <w:sz w:val="32"/>
      <w:szCs w:val="32"/>
      <w:lang w:val="en-US" w:eastAsia="zh-CN" w:bidi="ar-SA"/>
    </w:rPr>
  </w:style>
  <w:style w:type="character" w:customStyle="1" w:styleId="94">
    <w:name w:val="Header Char"/>
    <w:qFormat/>
    <w:locked/>
    <w:uiPriority w:val="0"/>
    <w:rPr>
      <w:sz w:val="18"/>
      <w:szCs w:val="18"/>
    </w:rPr>
  </w:style>
  <w:style w:type="character" w:customStyle="1" w:styleId="95">
    <w:name w:val="WW-默认段落字体"/>
    <w:qFormat/>
    <w:uiPriority w:val="0"/>
  </w:style>
  <w:style w:type="character" w:customStyle="1" w:styleId="96">
    <w:name w:val="表头及图底 Char"/>
    <w:link w:val="97"/>
    <w:qFormat/>
    <w:uiPriority w:val="0"/>
    <w:rPr>
      <w:rFonts w:ascii="Arial" w:hAnsi="Arial" w:eastAsia="黑体" w:cs="Arial"/>
      <w:kern w:val="2"/>
      <w:lang w:val="en-US" w:eastAsia="zh-CN" w:bidi="ar-SA"/>
    </w:rPr>
  </w:style>
  <w:style w:type="paragraph" w:customStyle="1" w:styleId="97">
    <w:name w:val="表头及图底"/>
    <w:basedOn w:val="13"/>
    <w:link w:val="96"/>
    <w:qFormat/>
    <w:uiPriority w:val="0"/>
    <w:pPr>
      <w:spacing w:line="360" w:lineRule="auto"/>
      <w:jc w:val="center"/>
    </w:pPr>
  </w:style>
  <w:style w:type="character" w:customStyle="1" w:styleId="98">
    <w:name w:val="t_title11"/>
    <w:qFormat/>
    <w:uiPriority w:val="0"/>
    <w:rPr>
      <w:rFonts w:eastAsia="宋体"/>
      <w:b/>
      <w:bCs/>
      <w:kern w:val="36"/>
      <w:sz w:val="21"/>
      <w:szCs w:val="21"/>
      <w:lang w:val="en-US" w:eastAsia="zh-CN" w:bidi="ar-SA"/>
    </w:rPr>
  </w:style>
  <w:style w:type="character" w:customStyle="1" w:styleId="99">
    <w:name w:val="日期 Char"/>
    <w:link w:val="29"/>
    <w:qFormat/>
    <w:uiPriority w:val="0"/>
    <w:rPr>
      <w:rFonts w:ascii="Calibri" w:hAnsi="Calibri" w:eastAsia="宋体"/>
      <w:kern w:val="2"/>
      <w:sz w:val="21"/>
      <w:szCs w:val="22"/>
      <w:lang w:val="en-US" w:eastAsia="zh-CN" w:bidi="ar-SA"/>
    </w:rPr>
  </w:style>
  <w:style w:type="character" w:customStyle="1" w:styleId="100">
    <w:name w:val="正文内容 Char"/>
    <w:link w:val="101"/>
    <w:qFormat/>
    <w:uiPriority w:val="0"/>
    <w:rPr>
      <w:rFonts w:ascii="仿宋_GB2312" w:eastAsia="仿宋_GB2312"/>
      <w:kern w:val="2"/>
      <w:sz w:val="32"/>
      <w:lang w:val="en-US" w:eastAsia="zh-CN" w:bidi="ar-SA"/>
    </w:rPr>
  </w:style>
  <w:style w:type="paragraph" w:customStyle="1" w:styleId="101">
    <w:name w:val="正文内容"/>
    <w:basedOn w:val="1"/>
    <w:link w:val="100"/>
    <w:qFormat/>
    <w:uiPriority w:val="0"/>
    <w:pPr>
      <w:ind w:firstLine="680"/>
    </w:pPr>
    <w:rPr>
      <w:rFonts w:ascii="仿宋_GB2312" w:eastAsia="仿宋_GB2312"/>
      <w:sz w:val="32"/>
      <w:szCs w:val="20"/>
    </w:rPr>
  </w:style>
  <w:style w:type="character" w:customStyle="1" w:styleId="102">
    <w:name w:val="font61"/>
    <w:qFormat/>
    <w:uiPriority w:val="0"/>
    <w:rPr>
      <w:rFonts w:hint="default" w:ascii="Arial" w:hAnsi="Arial" w:cs="Arial"/>
      <w:b/>
      <w:bCs/>
      <w:color w:val="FF6600"/>
      <w:sz w:val="18"/>
      <w:szCs w:val="18"/>
    </w:rPr>
  </w:style>
  <w:style w:type="character" w:customStyle="1" w:styleId="103">
    <w:name w:val="ca-22"/>
    <w:basedOn w:val="56"/>
    <w:qFormat/>
    <w:uiPriority w:val="0"/>
  </w:style>
  <w:style w:type="character" w:customStyle="1" w:styleId="104">
    <w:name w:val="正文文本缩进 2 Char"/>
    <w:link w:val="30"/>
    <w:qFormat/>
    <w:uiPriority w:val="0"/>
    <w:rPr>
      <w:rFonts w:ascii="Calibri" w:hAnsi="Calibri" w:eastAsia="宋体"/>
      <w:kern w:val="2"/>
      <w:sz w:val="21"/>
      <w:szCs w:val="22"/>
      <w:lang w:val="en-US" w:eastAsia="zh-CN" w:bidi="ar-SA"/>
    </w:rPr>
  </w:style>
  <w:style w:type="character" w:customStyle="1" w:styleId="105">
    <w:name w:val="WW-Absatz-Standardschriftart11111111111"/>
    <w:qFormat/>
    <w:uiPriority w:val="0"/>
  </w:style>
  <w:style w:type="character" w:customStyle="1" w:styleId="106">
    <w:name w:val="bds_more1"/>
    <w:qFormat/>
    <w:uiPriority w:val="0"/>
    <w:rPr>
      <w:rFonts w:hint="eastAsia" w:ascii="宋体" w:hAnsi="宋体" w:eastAsia="宋体"/>
    </w:rPr>
  </w:style>
  <w:style w:type="character" w:customStyle="1" w:styleId="107">
    <w:name w:val="ggbody1"/>
    <w:qFormat/>
    <w:uiPriority w:val="0"/>
    <w:rPr>
      <w:rFonts w:hint="default" w:eastAsia="宋体"/>
      <w:kern w:val="36"/>
      <w:sz w:val="21"/>
      <w:szCs w:val="21"/>
      <w:u w:val="none"/>
      <w:lang w:val="en-US" w:eastAsia="zh-CN" w:bidi="ar-SA"/>
    </w:rPr>
  </w:style>
  <w:style w:type="character" w:customStyle="1" w:styleId="108">
    <w:name w:val="普通(网站) Char"/>
    <w:link w:val="49"/>
    <w:qFormat/>
    <w:uiPriority w:val="99"/>
    <w:rPr>
      <w:rFonts w:eastAsia="宋体"/>
      <w:sz w:val="24"/>
      <w:szCs w:val="24"/>
      <w:lang w:val="en-US" w:eastAsia="zh-CN" w:bidi="ar-SA"/>
    </w:rPr>
  </w:style>
  <w:style w:type="character" w:customStyle="1" w:styleId="109">
    <w:name w:val="biaoti-61"/>
    <w:qFormat/>
    <w:uiPriority w:val="0"/>
    <w:rPr>
      <w:b/>
      <w:bCs/>
      <w:color w:val="000066"/>
      <w:sz w:val="20"/>
      <w:szCs w:val="20"/>
    </w:rPr>
  </w:style>
  <w:style w:type="character" w:customStyle="1" w:styleId="110">
    <w:name w:val="WW-默认段落字体1"/>
    <w:qFormat/>
    <w:uiPriority w:val="0"/>
  </w:style>
  <w:style w:type="character" w:customStyle="1" w:styleId="111">
    <w:name w:val="title-blue1"/>
    <w:qFormat/>
    <w:uiPriority w:val="0"/>
    <w:rPr>
      <w:rFonts w:hint="default" w:ascii="Verdana" w:hAnsi="Verdana"/>
      <w:b/>
      <w:bCs/>
      <w:color w:val="CC3300"/>
      <w:sz w:val="21"/>
      <w:szCs w:val="21"/>
      <w:u w:val="none"/>
    </w:rPr>
  </w:style>
  <w:style w:type="character" w:customStyle="1" w:styleId="112">
    <w:name w:val="表名 Char"/>
    <w:link w:val="113"/>
    <w:qFormat/>
    <w:uiPriority w:val="0"/>
    <w:rPr>
      <w:rFonts w:eastAsia="黑体"/>
      <w:kern w:val="2"/>
      <w:sz w:val="24"/>
      <w:szCs w:val="24"/>
      <w:lang w:bidi="ar-SA"/>
    </w:rPr>
  </w:style>
  <w:style w:type="paragraph" w:customStyle="1" w:styleId="113">
    <w:name w:val="表名"/>
    <w:basedOn w:val="1"/>
    <w:link w:val="112"/>
    <w:qFormat/>
    <w:uiPriority w:val="0"/>
    <w:pPr>
      <w:spacing w:line="360" w:lineRule="auto"/>
      <w:jc w:val="center"/>
    </w:pPr>
    <w:rPr>
      <w:rFonts w:eastAsia="黑体"/>
      <w:sz w:val="24"/>
      <w:szCs w:val="24"/>
    </w:rPr>
  </w:style>
  <w:style w:type="character" w:customStyle="1" w:styleId="114">
    <w:name w:val="ca-31"/>
    <w:qFormat/>
    <w:uiPriority w:val="0"/>
    <w:rPr>
      <w:rFonts w:hint="eastAsia" w:ascii="仿宋_GB2312" w:eastAsia="仿宋_GB2312"/>
      <w:kern w:val="36"/>
      <w:sz w:val="32"/>
      <w:szCs w:val="32"/>
      <w:lang w:val="en-US" w:eastAsia="zh-CN" w:bidi="ar-SA"/>
    </w:rPr>
  </w:style>
  <w:style w:type="character" w:customStyle="1" w:styleId="115">
    <w:name w:val="Char Char6"/>
    <w:qFormat/>
    <w:uiPriority w:val="0"/>
    <w:rPr>
      <w:rFonts w:ascii="Arial" w:hAnsi="Arial" w:eastAsia="黑体"/>
      <w:b/>
      <w:kern w:val="2"/>
      <w:sz w:val="32"/>
    </w:rPr>
  </w:style>
  <w:style w:type="character" w:customStyle="1" w:styleId="116">
    <w:name w:val="标题 3 Char1"/>
    <w:link w:val="4"/>
    <w:qFormat/>
    <w:uiPriority w:val="0"/>
    <w:rPr>
      <w:rFonts w:ascii="文鼎小标宋简" w:eastAsia="文鼎小标宋简"/>
      <w:kern w:val="2"/>
      <w:sz w:val="44"/>
      <w:lang w:val="en-US" w:eastAsia="zh-CN" w:bidi="ar-SA"/>
    </w:rPr>
  </w:style>
  <w:style w:type="character" w:customStyle="1" w:styleId="117">
    <w:name w:val="副标题 Char"/>
    <w:link w:val="39"/>
    <w:qFormat/>
    <w:uiPriority w:val="0"/>
    <w:rPr>
      <w:rFonts w:ascii="Cambria" w:hAnsi="Cambria" w:eastAsia="仿宋"/>
      <w:bCs/>
      <w:kern w:val="28"/>
      <w:sz w:val="32"/>
      <w:szCs w:val="32"/>
      <w:lang w:bidi="ar-SA"/>
    </w:rPr>
  </w:style>
  <w:style w:type="character" w:customStyle="1" w:styleId="118">
    <w:name w:val="articlecontent"/>
    <w:qFormat/>
    <w:uiPriority w:val="0"/>
    <w:rPr>
      <w:rFonts w:eastAsia="宋体"/>
      <w:kern w:val="36"/>
      <w:sz w:val="36"/>
      <w:szCs w:val="24"/>
      <w:lang w:val="en-US" w:eastAsia="zh-CN" w:bidi="ar-SA"/>
    </w:rPr>
  </w:style>
  <w:style w:type="character" w:customStyle="1" w:styleId="119">
    <w:name w:val="apple-converted-space"/>
    <w:basedOn w:val="56"/>
    <w:qFormat/>
    <w:uiPriority w:val="0"/>
  </w:style>
  <w:style w:type="character" w:customStyle="1" w:styleId="120">
    <w:name w:val="ggtitle1"/>
    <w:qFormat/>
    <w:uiPriority w:val="0"/>
    <w:rPr>
      <w:rFonts w:hint="default" w:ascii="ˎ̥" w:hAnsi="ˎ̥" w:eastAsia="宋体"/>
      <w:color w:val="FF0000"/>
      <w:spacing w:val="40"/>
      <w:kern w:val="36"/>
      <w:sz w:val="24"/>
      <w:szCs w:val="24"/>
      <w:u w:val="none"/>
      <w:lang w:val="en-US" w:eastAsia="zh-CN" w:bidi="ar-SA"/>
    </w:rPr>
  </w:style>
  <w:style w:type="character" w:customStyle="1" w:styleId="121">
    <w:name w:val="要点1"/>
    <w:qFormat/>
    <w:uiPriority w:val="0"/>
    <w:rPr>
      <w:rFonts w:ascii="Times New Roman" w:hAnsi="Times New Roman" w:eastAsia="宋体"/>
      <w:b/>
      <w:bCs/>
      <w:kern w:val="1"/>
      <w:sz w:val="24"/>
      <w:szCs w:val="24"/>
      <w:lang w:eastAsia="zh-CN" w:bidi="ar-SA"/>
    </w:rPr>
  </w:style>
  <w:style w:type="character" w:customStyle="1" w:styleId="122">
    <w:name w:val="正文缩进 Char"/>
    <w:link w:val="5"/>
    <w:qFormat/>
    <w:uiPriority w:val="0"/>
    <w:rPr>
      <w:rFonts w:ascii="Calibri" w:hAnsi="Calibri" w:eastAsia="宋体"/>
      <w:kern w:val="2"/>
      <w:sz w:val="21"/>
      <w:szCs w:val="22"/>
      <w:lang w:val="en-US" w:eastAsia="zh-CN" w:bidi="ar-SA"/>
    </w:rPr>
  </w:style>
  <w:style w:type="character" w:customStyle="1" w:styleId="123">
    <w:name w:val="text1"/>
    <w:qFormat/>
    <w:uiPriority w:val="0"/>
    <w:rPr>
      <w:rFonts w:hint="default" w:ascii="ˎ̥" w:hAnsi="ˎ̥" w:eastAsia="宋体"/>
      <w:color w:val="000000"/>
      <w:kern w:val="36"/>
      <w:sz w:val="18"/>
      <w:szCs w:val="18"/>
      <w:lang w:val="en-US" w:eastAsia="zh-CN" w:bidi="ar-SA"/>
    </w:rPr>
  </w:style>
  <w:style w:type="character" w:customStyle="1" w:styleId="124">
    <w:name w:val="so-ask-best"/>
    <w:qFormat/>
    <w:uiPriority w:val="0"/>
    <w:rPr>
      <w:rFonts w:cs="Times New Roman"/>
    </w:rPr>
  </w:style>
  <w:style w:type="character" w:customStyle="1" w:styleId="125">
    <w:name w:val="f9h16"/>
    <w:basedOn w:val="95"/>
    <w:qFormat/>
    <w:uiPriority w:val="0"/>
  </w:style>
  <w:style w:type="character" w:customStyle="1" w:styleId="126">
    <w:name w:val="Char Char11"/>
    <w:qFormat/>
    <w:uiPriority w:val="0"/>
    <w:rPr>
      <w:sz w:val="18"/>
      <w:szCs w:val="18"/>
    </w:rPr>
  </w:style>
  <w:style w:type="character" w:customStyle="1" w:styleId="127">
    <w:name w:val="无间隔 Char"/>
    <w:link w:val="128"/>
    <w:qFormat/>
    <w:uiPriority w:val="0"/>
    <w:rPr>
      <w:kern w:val="2"/>
      <w:sz w:val="21"/>
      <w:szCs w:val="22"/>
      <w:lang w:val="en-US" w:eastAsia="zh-CN" w:bidi="ar-SA"/>
    </w:rPr>
  </w:style>
  <w:style w:type="paragraph" w:styleId="128">
    <w:name w:val="No Spacing"/>
    <w:link w:val="12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9">
    <w:name w:val="页脚 Char2"/>
    <w:link w:val="33"/>
    <w:qFormat/>
    <w:uiPriority w:val="0"/>
    <w:rPr>
      <w:rFonts w:ascii="Calibri" w:hAnsi="Calibri" w:eastAsia="宋体"/>
      <w:kern w:val="2"/>
      <w:sz w:val="18"/>
      <w:szCs w:val="18"/>
      <w:lang w:val="en-US" w:eastAsia="zh-CN" w:bidi="ar-SA"/>
    </w:rPr>
  </w:style>
  <w:style w:type="character" w:customStyle="1" w:styleId="130">
    <w:name w:val="a11"/>
    <w:qFormat/>
    <w:uiPriority w:val="0"/>
    <w:rPr>
      <w:rFonts w:hint="eastAsia" w:ascii="宋体" w:hAnsi="宋体" w:eastAsia="宋体"/>
      <w:color w:val="000000"/>
      <w:sz w:val="21"/>
      <w:szCs w:val="21"/>
      <w:u w:val="none"/>
    </w:rPr>
  </w:style>
  <w:style w:type="character" w:customStyle="1" w:styleId="131">
    <w:name w:val="标题 4 Char Char Char Char"/>
    <w:semiHidden/>
    <w:qFormat/>
    <w:uiPriority w:val="0"/>
    <w:rPr>
      <w:rFonts w:ascii="宋体" w:hAnsi="宋体" w:eastAsia="仿宋_GB2312"/>
      <w:kern w:val="2"/>
      <w:sz w:val="24"/>
      <w:szCs w:val="28"/>
      <w:lang w:val="en-US" w:eastAsia="zh-CN" w:bidi="ar-SA"/>
    </w:rPr>
  </w:style>
  <w:style w:type="character" w:customStyle="1" w:styleId="132">
    <w:name w:val="ca-41"/>
    <w:qFormat/>
    <w:uiPriority w:val="0"/>
    <w:rPr>
      <w:rFonts w:hint="eastAsia" w:ascii="宋体" w:hAnsi="宋体" w:eastAsia="宋体"/>
      <w:kern w:val="36"/>
      <w:sz w:val="32"/>
      <w:szCs w:val="32"/>
      <w:lang w:val="en-US" w:eastAsia="zh-CN" w:bidi="ar-SA"/>
    </w:rPr>
  </w:style>
  <w:style w:type="character" w:customStyle="1" w:styleId="133">
    <w:name w:val="标题 Char"/>
    <w:link w:val="50"/>
    <w:qFormat/>
    <w:locked/>
    <w:uiPriority w:val="0"/>
    <w:rPr>
      <w:rFonts w:ascii="Arial" w:hAnsi="Arial" w:eastAsia="隶书" w:cs="Arial"/>
      <w:b/>
      <w:bCs/>
      <w:kern w:val="2"/>
      <w:sz w:val="44"/>
      <w:szCs w:val="32"/>
      <w:lang w:val="en-US" w:eastAsia="zh-CN" w:bidi="ar-SA"/>
    </w:rPr>
  </w:style>
  <w:style w:type="character" w:customStyle="1" w:styleId="134">
    <w:name w:val="Date Char"/>
    <w:qFormat/>
    <w:locked/>
    <w:uiPriority w:val="0"/>
    <w:rPr>
      <w:rFonts w:ascii="MT Extra" w:hAnsi="MT Extra" w:cs="MT Extra"/>
      <w:sz w:val="24"/>
      <w:szCs w:val="24"/>
    </w:rPr>
  </w:style>
  <w:style w:type="character" w:customStyle="1" w:styleId="135">
    <w:name w:val="WW-Absatz-Standardschriftart"/>
    <w:qFormat/>
    <w:uiPriority w:val="0"/>
  </w:style>
  <w:style w:type="character" w:customStyle="1" w:styleId="136">
    <w:name w:val="h1 Char Char"/>
    <w:qFormat/>
    <w:uiPriority w:val="0"/>
    <w:rPr>
      <w:rFonts w:eastAsia="宋体"/>
      <w:b/>
      <w:bCs/>
      <w:kern w:val="44"/>
      <w:sz w:val="44"/>
      <w:szCs w:val="44"/>
      <w:lang w:val="en-US" w:eastAsia="zh-CN" w:bidi="ar-SA"/>
    </w:rPr>
  </w:style>
  <w:style w:type="character" w:customStyle="1" w:styleId="137">
    <w:name w:val="txtcontent11"/>
    <w:qFormat/>
    <w:uiPriority w:val="0"/>
    <w:rPr>
      <w:rFonts w:hint="default" w:ascii="ˎ̥" w:hAnsi="ˎ̥" w:eastAsia="宋体"/>
      <w:color w:val="000000"/>
      <w:kern w:val="36"/>
      <w:sz w:val="21"/>
      <w:szCs w:val="21"/>
      <w:lang w:val="en-US" w:eastAsia="zh-CN" w:bidi="ar-SA"/>
    </w:rPr>
  </w:style>
  <w:style w:type="character" w:customStyle="1" w:styleId="138">
    <w:name w:val="apple-style-span"/>
    <w:qFormat/>
    <w:uiPriority w:val="0"/>
    <w:rPr>
      <w:rFonts w:eastAsia="宋体"/>
      <w:kern w:val="36"/>
      <w:sz w:val="36"/>
      <w:szCs w:val="24"/>
      <w:lang w:val="en-US" w:eastAsia="zh-CN" w:bidi="ar-SA"/>
    </w:rPr>
  </w:style>
  <w:style w:type="character" w:customStyle="1" w:styleId="139">
    <w:name w:val="页脚 字符"/>
    <w:qFormat/>
    <w:uiPriority w:val="99"/>
  </w:style>
  <w:style w:type="character" w:customStyle="1" w:styleId="140">
    <w:name w:val="WW-HTML 打字机"/>
    <w:qFormat/>
    <w:uiPriority w:val="0"/>
    <w:rPr>
      <w:rFonts w:ascii="黑体" w:hAnsi="黑体" w:eastAsia="黑体" w:cs="Courier New"/>
      <w:sz w:val="20"/>
      <w:szCs w:val="20"/>
    </w:rPr>
  </w:style>
  <w:style w:type="character" w:customStyle="1" w:styleId="141">
    <w:name w:val="Subtle Emphasis"/>
    <w:qFormat/>
    <w:uiPriority w:val="0"/>
    <w:rPr>
      <w:i/>
      <w:iCs/>
      <w:color w:val="808080"/>
    </w:rPr>
  </w:style>
  <w:style w:type="character" w:customStyle="1" w:styleId="142">
    <w:name w:val="WW-Absatz-Standardschriftart11111111111111111111"/>
    <w:qFormat/>
    <w:uiPriority w:val="0"/>
  </w:style>
  <w:style w:type="character" w:customStyle="1" w:styleId="143">
    <w:name w:val="a011"/>
    <w:qFormat/>
    <w:uiPriority w:val="0"/>
    <w:rPr>
      <w:rFonts w:hint="default" w:ascii="ˎ̥" w:hAnsi="ˎ̥" w:eastAsia="宋体"/>
      <w:color w:val="000000"/>
      <w:spacing w:val="15"/>
      <w:kern w:val="36"/>
      <w:sz w:val="18"/>
      <w:szCs w:val="18"/>
      <w:lang w:val="en-US" w:eastAsia="zh-CN" w:bidi="ar-SA"/>
    </w:rPr>
  </w:style>
  <w:style w:type="character" w:customStyle="1" w:styleId="144">
    <w:name w:val="dash6b63_6587__char"/>
    <w:qFormat/>
    <w:uiPriority w:val="0"/>
  </w:style>
  <w:style w:type="character" w:customStyle="1" w:styleId="145">
    <w:name w:val="content1"/>
    <w:qFormat/>
    <w:uiPriority w:val="0"/>
    <w:rPr>
      <w:rFonts w:ascii="Tahoma" w:hAnsi="Tahoma" w:eastAsia="宋体" w:cs="Tahoma"/>
      <w:kern w:val="36"/>
      <w:sz w:val="28"/>
      <w:szCs w:val="28"/>
      <w:lang w:val="en-US" w:eastAsia="zh-CN" w:bidi="ar-SA"/>
    </w:rPr>
  </w:style>
  <w:style w:type="character" w:customStyle="1" w:styleId="146">
    <w:name w:val="17"/>
    <w:qFormat/>
    <w:uiPriority w:val="0"/>
    <w:rPr>
      <w:rFonts w:hint="default" w:ascii="Times New Roman" w:hAnsi="Times New Roman" w:eastAsia="宋体" w:cs="Times New Roman"/>
      <w:color w:val="0000FF"/>
      <w:kern w:val="36"/>
      <w:sz w:val="20"/>
      <w:szCs w:val="20"/>
      <w:u w:val="single"/>
      <w:lang w:val="en-US" w:eastAsia="zh-CN" w:bidi="ar-SA"/>
    </w:rPr>
  </w:style>
  <w:style w:type="character" w:customStyle="1" w:styleId="147">
    <w:name w:val="ggwenhao"/>
    <w:qFormat/>
    <w:uiPriority w:val="0"/>
    <w:rPr>
      <w:rFonts w:eastAsia="宋体"/>
      <w:kern w:val="36"/>
      <w:sz w:val="36"/>
      <w:szCs w:val="24"/>
      <w:lang w:val="en-US" w:eastAsia="zh-CN" w:bidi="ar-SA"/>
    </w:rPr>
  </w:style>
  <w:style w:type="character" w:customStyle="1" w:styleId="148">
    <w:name w:val="Style4 Char"/>
    <w:link w:val="149"/>
    <w:qFormat/>
    <w:uiPriority w:val="0"/>
    <w:rPr>
      <w:rFonts w:ascii="Arial" w:hAnsi="Arial" w:eastAsia="宋体"/>
      <w:kern w:val="2"/>
      <w:sz w:val="24"/>
      <w:szCs w:val="24"/>
      <w:lang w:val="en-US" w:eastAsia="zh-CN" w:bidi="ar-SA"/>
    </w:rPr>
  </w:style>
  <w:style w:type="paragraph" w:customStyle="1" w:styleId="149">
    <w:name w:val="Style4"/>
    <w:basedOn w:val="1"/>
    <w:link w:val="148"/>
    <w:uiPriority w:val="0"/>
    <w:pPr>
      <w:spacing w:beforeLines="50" w:afterLines="50" w:line="276" w:lineRule="auto"/>
      <w:ind w:firstLine="200" w:firstLineChars="200"/>
    </w:pPr>
    <w:rPr>
      <w:rFonts w:ascii="Arial" w:hAnsi="Arial"/>
      <w:sz w:val="24"/>
      <w:szCs w:val="24"/>
    </w:rPr>
  </w:style>
  <w:style w:type="character" w:customStyle="1" w:styleId="150">
    <w:name w:val="批注框文本 Char1"/>
    <w:link w:val="32"/>
    <w:qFormat/>
    <w:uiPriority w:val="99"/>
    <w:rPr>
      <w:rFonts w:ascii="Calibri" w:hAnsi="Calibri" w:eastAsia="宋体"/>
      <w:kern w:val="2"/>
      <w:sz w:val="18"/>
      <w:szCs w:val="18"/>
      <w:lang w:val="en-US" w:eastAsia="zh-CN" w:bidi="ar-SA"/>
    </w:rPr>
  </w:style>
  <w:style w:type="character" w:customStyle="1" w:styleId="151">
    <w:name w:val="样式1 Char"/>
    <w:link w:val="152"/>
    <w:qFormat/>
    <w:uiPriority w:val="0"/>
    <w:rPr>
      <w:rFonts w:eastAsia="仿宋_GB2312"/>
      <w:kern w:val="2"/>
      <w:sz w:val="32"/>
      <w:szCs w:val="24"/>
      <w:lang w:val="en-US" w:eastAsia="zh-CN" w:bidi="ar-SA"/>
    </w:rPr>
  </w:style>
  <w:style w:type="paragraph" w:customStyle="1" w:styleId="152">
    <w:name w:val="样式1"/>
    <w:basedOn w:val="1"/>
    <w:link w:val="151"/>
    <w:qFormat/>
    <w:uiPriority w:val="0"/>
    <w:rPr>
      <w:rFonts w:eastAsia="仿宋_GB2312"/>
      <w:sz w:val="32"/>
      <w:szCs w:val="24"/>
    </w:rPr>
  </w:style>
  <w:style w:type="character" w:customStyle="1" w:styleId="153">
    <w:name w:val="Char Char2"/>
    <w:qFormat/>
    <w:uiPriority w:val="0"/>
    <w:rPr>
      <w:rFonts w:eastAsia="宋体"/>
      <w:kern w:val="1"/>
      <w:sz w:val="18"/>
      <w:szCs w:val="18"/>
      <w:lang w:val="en-US" w:eastAsia="ar-SA" w:bidi="ar-SA"/>
    </w:rPr>
  </w:style>
  <w:style w:type="character" w:customStyle="1" w:styleId="154">
    <w:name w:val="样式 正文－四号 Char Char"/>
    <w:link w:val="155"/>
    <w:qFormat/>
    <w:locked/>
    <w:uiPriority w:val="0"/>
    <w:rPr>
      <w:rFonts w:ascii="仿宋_GB2312" w:eastAsia="仿宋_GB2312"/>
      <w:color w:val="000000"/>
      <w:kern w:val="2"/>
      <w:sz w:val="28"/>
      <w:lang w:val="en-US" w:eastAsia="zh-CN" w:bidi="ar-SA"/>
    </w:rPr>
  </w:style>
  <w:style w:type="paragraph" w:customStyle="1" w:styleId="155">
    <w:name w:val="样式 正文－四号"/>
    <w:basedOn w:val="1"/>
    <w:link w:val="154"/>
    <w:uiPriority w:val="0"/>
    <w:pPr>
      <w:ind w:firstLine="560"/>
    </w:pPr>
    <w:rPr>
      <w:rFonts w:ascii="仿宋_GB2312" w:eastAsia="仿宋_GB2312"/>
      <w:color w:val="000000"/>
      <w:sz w:val="28"/>
      <w:szCs w:val="20"/>
    </w:rPr>
  </w:style>
  <w:style w:type="character" w:customStyle="1" w:styleId="156">
    <w:name w:val="WW-Absatz-Standardschriftart1"/>
    <w:qFormat/>
    <w:uiPriority w:val="0"/>
  </w:style>
  <w:style w:type="character" w:customStyle="1" w:styleId="157">
    <w:name w:val="页脚 Char"/>
    <w:qFormat/>
    <w:uiPriority w:val="99"/>
    <w:rPr>
      <w:kern w:val="2"/>
      <w:sz w:val="18"/>
      <w:szCs w:val="18"/>
    </w:rPr>
  </w:style>
  <w:style w:type="character" w:customStyle="1" w:styleId="158">
    <w:name w:val="正文1 Char"/>
    <w:link w:val="159"/>
    <w:uiPriority w:val="0"/>
    <w:rPr>
      <w:rFonts w:eastAsia="宋体" w:cs="Tahoma"/>
      <w:kern w:val="2"/>
      <w:sz w:val="21"/>
      <w:szCs w:val="21"/>
      <w:lang w:val="en-US" w:eastAsia="zh-CN" w:bidi="ar-SA"/>
    </w:rPr>
  </w:style>
  <w:style w:type="paragraph" w:customStyle="1" w:styleId="159">
    <w:name w:val="正文11"/>
    <w:basedOn w:val="1"/>
    <w:link w:val="158"/>
    <w:uiPriority w:val="0"/>
    <w:pPr>
      <w:suppressAutoHyphens/>
    </w:pPr>
    <w:rPr>
      <w:rFonts w:cs="Tahoma"/>
      <w:szCs w:val="21"/>
    </w:rPr>
  </w:style>
  <w:style w:type="character" w:customStyle="1" w:styleId="160">
    <w:name w:val="Footer Char"/>
    <w:qFormat/>
    <w:locked/>
    <w:uiPriority w:val="0"/>
    <w:rPr>
      <w:sz w:val="18"/>
      <w:szCs w:val="18"/>
    </w:rPr>
  </w:style>
  <w:style w:type="character" w:customStyle="1" w:styleId="161">
    <w:name w:val="正文文本 Char"/>
    <w:link w:val="20"/>
    <w:qFormat/>
    <w:uiPriority w:val="0"/>
    <w:rPr>
      <w:rFonts w:eastAsia="宋体"/>
      <w:kern w:val="2"/>
      <w:sz w:val="21"/>
      <w:lang w:val="en-US" w:eastAsia="zh-CN" w:bidi="ar-SA"/>
    </w:rPr>
  </w:style>
  <w:style w:type="character" w:customStyle="1" w:styleId="162">
    <w:name w:val="wzbt1"/>
    <w:qFormat/>
    <w:uiPriority w:val="0"/>
    <w:rPr>
      <w:rFonts w:eastAsia="宋体"/>
      <w:kern w:val="36"/>
      <w:sz w:val="36"/>
      <w:szCs w:val="24"/>
      <w:lang w:val="en-US" w:eastAsia="zh-CN" w:bidi="ar-SA"/>
    </w:rPr>
  </w:style>
  <w:style w:type="character" w:customStyle="1" w:styleId="163">
    <w:name w:val="样式 正文－小字 + Times New Roman Char Char"/>
    <w:qFormat/>
    <w:uiPriority w:val="0"/>
    <w:rPr>
      <w:rFonts w:ascii="仿宋_GB2312" w:eastAsia="仿宋_GB2312"/>
      <w:color w:val="000000"/>
      <w:kern w:val="2"/>
      <w:sz w:val="28"/>
    </w:rPr>
  </w:style>
  <w:style w:type="character" w:customStyle="1" w:styleId="164">
    <w:name w:val="ggwenhao1"/>
    <w:qFormat/>
    <w:uiPriority w:val="0"/>
    <w:rPr>
      <w:rFonts w:hint="default" w:eastAsia="宋体"/>
      <w:spacing w:val="60"/>
      <w:kern w:val="36"/>
      <w:sz w:val="18"/>
      <w:szCs w:val="18"/>
      <w:u w:val="none"/>
      <w:lang w:val="en-US" w:eastAsia="zh-CN" w:bidi="ar-SA"/>
    </w:rPr>
  </w:style>
  <w:style w:type="character" w:customStyle="1" w:styleId="165">
    <w:name w:val="Balloon Text Char"/>
    <w:qFormat/>
    <w:locked/>
    <w:uiPriority w:val="0"/>
    <w:rPr>
      <w:rFonts w:ascii="MT Extra" w:hAnsi="MT Extra" w:cs="MT Extra"/>
      <w:sz w:val="18"/>
      <w:szCs w:val="18"/>
    </w:rPr>
  </w:style>
  <w:style w:type="character" w:customStyle="1" w:styleId="166">
    <w:name w:val="large1"/>
    <w:qFormat/>
    <w:uiPriority w:val="0"/>
    <w:rPr>
      <w:rFonts w:hint="eastAsia" w:ascii="宋体" w:hAnsi="宋体" w:eastAsia="宋体"/>
      <w:kern w:val="36"/>
      <w:sz w:val="22"/>
      <w:szCs w:val="22"/>
      <w:lang w:val="en-US" w:eastAsia="zh-CN" w:bidi="ar-SA"/>
    </w:rPr>
  </w:style>
  <w:style w:type="character" w:customStyle="1" w:styleId="167">
    <w:name w:val="a14px1"/>
    <w:qFormat/>
    <w:uiPriority w:val="0"/>
    <w:rPr>
      <w:rFonts w:hint="default" w:ascii="Arial" w:hAnsi="Arial" w:eastAsia="宋体" w:cs="Arial"/>
      <w:kern w:val="36"/>
      <w:sz w:val="21"/>
      <w:szCs w:val="21"/>
      <w:lang w:val="en-US" w:eastAsia="zh-CN" w:bidi="ar-SA"/>
    </w:rPr>
  </w:style>
  <w:style w:type="character" w:customStyle="1" w:styleId="168">
    <w:name w:val="样式3 Char"/>
    <w:link w:val="169"/>
    <w:uiPriority w:val="0"/>
    <w:rPr>
      <w:rFonts w:ascii="仿宋_GB2312" w:hAnsi="Calibri" w:eastAsia="仿宋_GB2312"/>
      <w:b/>
      <w:kern w:val="2"/>
      <w:sz w:val="32"/>
      <w:szCs w:val="32"/>
      <w:lang w:val="en-US" w:eastAsia="zh-CN" w:bidi="ar-SA"/>
    </w:rPr>
  </w:style>
  <w:style w:type="paragraph" w:customStyle="1" w:styleId="169">
    <w:name w:val="样式3"/>
    <w:basedOn w:val="1"/>
    <w:link w:val="168"/>
    <w:qFormat/>
    <w:uiPriority w:val="0"/>
    <w:pPr>
      <w:spacing w:line="600" w:lineRule="exact"/>
      <w:ind w:firstLine="643" w:firstLineChars="200"/>
      <w:outlineLvl w:val="2"/>
    </w:pPr>
    <w:rPr>
      <w:rFonts w:ascii="仿宋_GB2312" w:eastAsia="仿宋_GB2312"/>
      <w:b/>
      <w:sz w:val="32"/>
      <w:szCs w:val="32"/>
    </w:rPr>
  </w:style>
  <w:style w:type="character" w:customStyle="1" w:styleId="170">
    <w:name w:val="正文文本缩进 Char"/>
    <w:link w:val="21"/>
    <w:qFormat/>
    <w:uiPriority w:val="0"/>
    <w:rPr>
      <w:rFonts w:eastAsia="仿宋_GB2312"/>
      <w:kern w:val="2"/>
      <w:sz w:val="32"/>
      <w:lang w:val="en-US" w:eastAsia="zh-CN" w:bidi="ar-SA"/>
    </w:rPr>
  </w:style>
  <w:style w:type="character" w:customStyle="1" w:styleId="171">
    <w:name w:val="正文文字缩进1 Char Char"/>
    <w:qFormat/>
    <w:uiPriority w:val="0"/>
    <w:rPr>
      <w:rFonts w:eastAsia="仿宋_GB2312"/>
      <w:kern w:val="2"/>
      <w:sz w:val="32"/>
    </w:rPr>
  </w:style>
  <w:style w:type="character" w:customStyle="1" w:styleId="172">
    <w:name w:val="WW-Absatz-Standardschriftart111111111111111111111"/>
    <w:qFormat/>
    <w:uiPriority w:val="0"/>
  </w:style>
  <w:style w:type="character" w:customStyle="1" w:styleId="173">
    <w:name w:val="defaultfont1"/>
    <w:qFormat/>
    <w:uiPriority w:val="0"/>
    <w:rPr>
      <w:rFonts w:eastAsia="宋体"/>
      <w:kern w:val="36"/>
      <w:sz w:val="36"/>
      <w:szCs w:val="24"/>
      <w:lang w:val="en-US" w:eastAsia="zh-CN" w:bidi="ar-SA"/>
    </w:rPr>
  </w:style>
  <w:style w:type="character" w:customStyle="1" w:styleId="174">
    <w:name w:val="正文文本 2 Char"/>
    <w:link w:val="175"/>
    <w:qFormat/>
    <w:uiPriority w:val="0"/>
    <w:rPr>
      <w:rFonts w:ascii="宋体"/>
      <w:sz w:val="36"/>
      <w:szCs w:val="24"/>
      <w:lang w:bidi="ar-SA"/>
    </w:rPr>
  </w:style>
  <w:style w:type="paragraph" w:customStyle="1" w:styleId="175">
    <w:name w:val="正文文本 211"/>
    <w:basedOn w:val="1"/>
    <w:link w:val="174"/>
    <w:uiPriority w:val="0"/>
    <w:pPr>
      <w:jc w:val="center"/>
    </w:pPr>
    <w:rPr>
      <w:rFonts w:ascii="宋体"/>
      <w:kern w:val="0"/>
      <w:sz w:val="36"/>
      <w:szCs w:val="24"/>
    </w:rPr>
  </w:style>
  <w:style w:type="character" w:customStyle="1" w:styleId="176">
    <w:name w:val="纯文本 Char"/>
    <w:link w:val="27"/>
    <w:locked/>
    <w:uiPriority w:val="0"/>
    <w:rPr>
      <w:rFonts w:ascii="宋体" w:hAnsi="Courier New" w:eastAsia="宋体"/>
      <w:kern w:val="2"/>
      <w:sz w:val="21"/>
      <w:lang w:val="en-US" w:eastAsia="zh-CN" w:bidi="ar-SA"/>
    </w:rPr>
  </w:style>
  <w:style w:type="character" w:customStyle="1" w:styleId="177">
    <w:name w:val="正文文本 Char1"/>
    <w:uiPriority w:val="0"/>
    <w:rPr>
      <w:rFonts w:eastAsia="宋体"/>
      <w:kern w:val="1"/>
      <w:sz w:val="21"/>
      <w:szCs w:val="21"/>
      <w:lang w:val="en-US" w:eastAsia="ar-SA" w:bidi="ar-SA"/>
    </w:rPr>
  </w:style>
  <w:style w:type="character" w:customStyle="1" w:styleId="178">
    <w:name w:val="访问过的超链接1"/>
    <w:uiPriority w:val="0"/>
    <w:rPr>
      <w:color w:val="800080"/>
      <w:u w:val="single"/>
    </w:rPr>
  </w:style>
  <w:style w:type="character" w:customStyle="1" w:styleId="179">
    <w:name w:val="ca-51"/>
    <w:uiPriority w:val="0"/>
    <w:rPr>
      <w:rFonts w:hint="eastAsia" w:ascii="仿宋_GB2312" w:eastAsia="仿宋_GB2312"/>
      <w:b/>
      <w:bCs/>
      <w:color w:val="000000"/>
      <w:spacing w:val="-20"/>
      <w:kern w:val="36"/>
      <w:sz w:val="32"/>
      <w:szCs w:val="32"/>
      <w:lang w:val="en-US" w:eastAsia="zh-CN" w:bidi="ar-SA"/>
    </w:rPr>
  </w:style>
  <w:style w:type="character" w:customStyle="1" w:styleId="180">
    <w:name w:val="t121"/>
    <w:qFormat/>
    <w:uiPriority w:val="0"/>
    <w:rPr>
      <w:sz w:val="21"/>
      <w:szCs w:val="21"/>
    </w:rPr>
  </w:style>
  <w:style w:type="character" w:customStyle="1" w:styleId="181">
    <w:name w:val="ca-71"/>
    <w:qFormat/>
    <w:uiPriority w:val="0"/>
    <w:rPr>
      <w:rFonts w:hint="eastAsia" w:ascii="楷体_GB2312" w:eastAsia="楷体_GB2312"/>
      <w:b/>
      <w:bCs/>
      <w:color w:val="000000"/>
      <w:spacing w:val="-20"/>
      <w:kern w:val="36"/>
      <w:sz w:val="32"/>
      <w:szCs w:val="32"/>
      <w:lang w:val="en-US" w:eastAsia="zh-CN" w:bidi="ar-SA"/>
    </w:rPr>
  </w:style>
  <w:style w:type="character" w:customStyle="1" w:styleId="182">
    <w:name w:val="Char Char21"/>
    <w:locked/>
    <w:uiPriority w:val="0"/>
    <w:rPr>
      <w:rFonts w:ascii="仿宋_GB2312" w:hAnsi="Courier New" w:eastAsia="仿宋_GB2312"/>
      <w:kern w:val="2"/>
      <w:sz w:val="32"/>
      <w:szCs w:val="21"/>
      <w:lang w:bidi="ar-SA"/>
    </w:rPr>
  </w:style>
  <w:style w:type="character" w:customStyle="1" w:styleId="183">
    <w:name w:val="ca-81"/>
    <w:qFormat/>
    <w:uiPriority w:val="0"/>
    <w:rPr>
      <w:rFonts w:hint="eastAsia" w:ascii="仿宋_GB2312" w:eastAsia="仿宋_GB2312"/>
      <w:vanish/>
      <w:color w:val="000000"/>
      <w:kern w:val="36"/>
      <w:sz w:val="32"/>
      <w:szCs w:val="32"/>
      <w:lang w:val="en-US" w:eastAsia="zh-CN" w:bidi="ar-SA"/>
    </w:rPr>
  </w:style>
  <w:style w:type="character" w:customStyle="1" w:styleId="184">
    <w:name w:val="表内容 Char"/>
    <w:link w:val="185"/>
    <w:uiPriority w:val="0"/>
    <w:rPr>
      <w:rFonts w:ascii="仿宋_GB2312" w:eastAsia="仿宋_GB2312" w:cs="宋体"/>
      <w:kern w:val="2"/>
      <w:sz w:val="21"/>
      <w:szCs w:val="21"/>
      <w:lang w:val="en-US" w:eastAsia="zh-CN" w:bidi="ar-SA"/>
    </w:rPr>
  </w:style>
  <w:style w:type="paragraph" w:customStyle="1" w:styleId="185">
    <w:name w:val="表内容"/>
    <w:basedOn w:val="1"/>
    <w:link w:val="184"/>
    <w:qFormat/>
    <w:uiPriority w:val="0"/>
    <w:pPr>
      <w:spacing w:beforeLines="20" w:afterLines="20"/>
      <w:jc w:val="center"/>
    </w:pPr>
    <w:rPr>
      <w:rFonts w:ascii="仿宋_GB2312" w:eastAsia="仿宋_GB2312" w:cs="宋体"/>
      <w:szCs w:val="21"/>
    </w:rPr>
  </w:style>
  <w:style w:type="character" w:customStyle="1" w:styleId="186">
    <w:name w:val="ca-91"/>
    <w:qFormat/>
    <w:uiPriority w:val="0"/>
    <w:rPr>
      <w:rFonts w:hint="eastAsia" w:ascii="黑体" w:eastAsia="黑体"/>
      <w:kern w:val="36"/>
      <w:sz w:val="32"/>
      <w:szCs w:val="32"/>
      <w:lang w:val="en-US" w:eastAsia="zh-CN" w:bidi="ar-SA"/>
    </w:rPr>
  </w:style>
  <w:style w:type="character" w:customStyle="1" w:styleId="187">
    <w:name w:val="正文缩进四号 Char Char"/>
    <w:link w:val="188"/>
    <w:qFormat/>
    <w:uiPriority w:val="0"/>
    <w:rPr>
      <w:rFonts w:eastAsia="宋体" w:cs="宋体"/>
      <w:kern w:val="2"/>
      <w:sz w:val="28"/>
      <w:szCs w:val="24"/>
      <w:lang w:val="en-US" w:eastAsia="zh-CN" w:bidi="ar-SA"/>
    </w:rPr>
  </w:style>
  <w:style w:type="paragraph" w:customStyle="1" w:styleId="188">
    <w:name w:val="正文缩进四号"/>
    <w:basedOn w:val="81"/>
    <w:link w:val="187"/>
    <w:qFormat/>
    <w:uiPriority w:val="0"/>
    <w:pPr>
      <w:ind w:firstLine="560"/>
      <w:jc w:val="left"/>
    </w:pPr>
    <w:rPr>
      <w:rFonts w:cs="宋体"/>
    </w:rPr>
  </w:style>
  <w:style w:type="character" w:customStyle="1" w:styleId="189">
    <w:name w:val="ca-101"/>
    <w:qFormat/>
    <w:uiPriority w:val="0"/>
    <w:rPr>
      <w:rFonts w:hint="eastAsia" w:ascii="仿宋_GB2312" w:eastAsia="仿宋_GB2312"/>
      <w:b/>
      <w:bCs/>
      <w:color w:val="000000"/>
      <w:spacing w:val="-20"/>
      <w:kern w:val="36"/>
      <w:sz w:val="32"/>
      <w:szCs w:val="32"/>
      <w:lang w:val="en-US" w:eastAsia="zh-CN" w:bidi="ar-SA"/>
    </w:rPr>
  </w:style>
  <w:style w:type="character" w:customStyle="1" w:styleId="190">
    <w:name w:val="ca-121"/>
    <w:uiPriority w:val="0"/>
    <w:rPr>
      <w:rFonts w:hint="eastAsia" w:ascii="楷体_GB2312" w:eastAsia="楷体_GB2312"/>
      <w:color w:val="000000"/>
      <w:kern w:val="36"/>
      <w:sz w:val="32"/>
      <w:szCs w:val="32"/>
      <w:lang w:val="en-US" w:eastAsia="zh-CN" w:bidi="ar-SA"/>
    </w:rPr>
  </w:style>
  <w:style w:type="character" w:customStyle="1" w:styleId="191">
    <w:name w:val="f141"/>
    <w:qFormat/>
    <w:uiPriority w:val="0"/>
    <w:rPr>
      <w:rFonts w:eastAsia="宋体"/>
      <w:kern w:val="36"/>
      <w:sz w:val="17"/>
      <w:szCs w:val="17"/>
      <w:lang w:val="en-US" w:eastAsia="zh-CN" w:bidi="ar-SA"/>
    </w:rPr>
  </w:style>
  <w:style w:type="character" w:customStyle="1" w:styleId="192">
    <w:name w:val="title1"/>
    <w:qFormat/>
    <w:uiPriority w:val="0"/>
    <w:rPr>
      <w:rFonts w:hint="eastAsia" w:ascii="Verdana, Arial, 宋体" w:eastAsia="Verdana, Arial, 宋体"/>
      <w:b/>
      <w:bCs/>
      <w:color w:val="333333"/>
      <w:kern w:val="36"/>
      <w:sz w:val="30"/>
      <w:szCs w:val="30"/>
      <w:lang w:val="en-US" w:eastAsia="zh-CN" w:bidi="ar-SA"/>
    </w:rPr>
  </w:style>
  <w:style w:type="character" w:customStyle="1" w:styleId="193">
    <w:name w:val="标题 2 Char Char Char Char Char Char1"/>
    <w:qFormat/>
    <w:uiPriority w:val="0"/>
    <w:rPr>
      <w:rFonts w:ascii="Arial" w:hAnsi="Arial" w:eastAsia="黑体"/>
      <w:b/>
      <w:bCs/>
      <w:kern w:val="2"/>
      <w:sz w:val="32"/>
      <w:szCs w:val="32"/>
      <w:lang w:val="en-US" w:eastAsia="zh-CN" w:bidi="ar-SA"/>
    </w:rPr>
  </w:style>
  <w:style w:type="character" w:customStyle="1" w:styleId="194">
    <w:name w:val="样式 仿宋_GB2312 (符号) Arial 小三 灰色-80%"/>
    <w:qFormat/>
    <w:uiPriority w:val="0"/>
    <w:rPr>
      <w:rFonts w:ascii="仿宋_GB2312" w:hAnsi="仿宋_GB2312" w:eastAsia="仿宋_GB2312"/>
      <w:color w:val="333333"/>
      <w:kern w:val="0"/>
      <w:sz w:val="30"/>
      <w:szCs w:val="24"/>
      <w:lang w:val="en-US" w:eastAsia="zh-CN" w:bidi="ar-SA"/>
    </w:rPr>
  </w:style>
  <w:style w:type="character" w:customStyle="1" w:styleId="195">
    <w:name w:val="p11"/>
    <w:qFormat/>
    <w:uiPriority w:val="0"/>
    <w:rPr>
      <w:rFonts w:hint="eastAsia" w:ascii="宋体" w:hAnsi="宋体" w:eastAsia="宋体"/>
      <w:kern w:val="36"/>
      <w:sz w:val="18"/>
      <w:szCs w:val="18"/>
      <w:lang w:val="en-US" w:eastAsia="zh-CN" w:bidi="ar-SA"/>
    </w:rPr>
  </w:style>
  <w:style w:type="character" w:customStyle="1" w:styleId="196">
    <w:name w:val="Char Char14"/>
    <w:semiHidden/>
    <w:qFormat/>
    <w:uiPriority w:val="0"/>
    <w:rPr>
      <w:rFonts w:ascii="Calibri" w:hAnsi="Calibri" w:eastAsia="宋体"/>
      <w:kern w:val="2"/>
      <w:sz w:val="18"/>
      <w:szCs w:val="18"/>
      <w:lang w:val="en-US" w:eastAsia="zh-CN" w:bidi="ar-SA"/>
    </w:rPr>
  </w:style>
  <w:style w:type="character" w:customStyle="1" w:styleId="197">
    <w:name w:val="style71"/>
    <w:qFormat/>
    <w:uiPriority w:val="0"/>
    <w:rPr>
      <w:rFonts w:eastAsia="宋体"/>
      <w:kern w:val="36"/>
      <w:sz w:val="24"/>
      <w:szCs w:val="24"/>
      <w:lang w:val="en-US" w:eastAsia="zh-CN" w:bidi="ar-SA"/>
    </w:rPr>
  </w:style>
  <w:style w:type="character" w:customStyle="1" w:styleId="198">
    <w:name w:val="Char Char15"/>
    <w:semiHidden/>
    <w:qFormat/>
    <w:uiPriority w:val="0"/>
    <w:rPr>
      <w:rFonts w:ascii="Calibri" w:hAnsi="Calibri" w:eastAsia="宋体"/>
      <w:kern w:val="2"/>
      <w:sz w:val="18"/>
      <w:szCs w:val="18"/>
      <w:lang w:val="en-US" w:eastAsia="zh-CN" w:bidi="ar-SA"/>
    </w:rPr>
  </w:style>
  <w:style w:type="character" w:customStyle="1" w:styleId="199">
    <w:name w:val="15"/>
    <w:uiPriority w:val="0"/>
    <w:rPr>
      <w:rFonts w:hint="default" w:ascii="Times New Roman" w:hAnsi="Times New Roman" w:eastAsia="宋体" w:cs="Times New Roman"/>
      <w:color w:val="0000FF"/>
      <w:kern w:val="36"/>
      <w:sz w:val="20"/>
      <w:szCs w:val="20"/>
      <w:u w:val="single"/>
      <w:lang w:val="en-US" w:eastAsia="zh-CN" w:bidi="ar-SA"/>
    </w:rPr>
  </w:style>
  <w:style w:type="character" w:customStyle="1" w:styleId="200">
    <w:name w:val="style3 Char"/>
    <w:uiPriority w:val="0"/>
    <w:rPr>
      <w:rFonts w:ascii="文鼎小标宋简" w:eastAsia="文鼎小标宋简"/>
      <w:kern w:val="2"/>
      <w:sz w:val="44"/>
      <w:lang w:val="en-US" w:eastAsia="zh-CN" w:bidi="ar-SA"/>
    </w:rPr>
  </w:style>
  <w:style w:type="character" w:customStyle="1" w:styleId="201">
    <w:name w:val="dabiaoti"/>
    <w:basedOn w:val="56"/>
    <w:qFormat/>
    <w:uiPriority w:val="0"/>
  </w:style>
  <w:style w:type="character" w:customStyle="1" w:styleId="202">
    <w:name w:val="t11"/>
    <w:uiPriority w:val="0"/>
    <w:rPr>
      <w:color w:val="000000"/>
      <w:sz w:val="18"/>
      <w:szCs w:val="18"/>
      <w:u w:val="none"/>
    </w:rPr>
  </w:style>
  <w:style w:type="character" w:customStyle="1" w:styleId="203">
    <w:name w:val="样式 正文－小字 + Times New Roman Char"/>
    <w:link w:val="204"/>
    <w:qFormat/>
    <w:locked/>
    <w:uiPriority w:val="0"/>
    <w:rPr>
      <w:rFonts w:eastAsia="仿宋_GB2312"/>
      <w:color w:val="000000"/>
      <w:kern w:val="2"/>
      <w:sz w:val="28"/>
      <w:szCs w:val="28"/>
      <w:lang w:val="en-US" w:eastAsia="zh-CN" w:bidi="ar-SA"/>
    </w:rPr>
  </w:style>
  <w:style w:type="paragraph" w:customStyle="1" w:styleId="204">
    <w:name w:val="样式 正文－小字 + Times New Roman"/>
    <w:basedOn w:val="1"/>
    <w:link w:val="203"/>
    <w:uiPriority w:val="0"/>
    <w:pPr>
      <w:spacing w:beforeLines="50" w:afterLines="50" w:line="360" w:lineRule="auto"/>
      <w:ind w:firstLine="560" w:firstLineChars="200"/>
    </w:pPr>
    <w:rPr>
      <w:rFonts w:eastAsia="仿宋_GB2312"/>
      <w:color w:val="000000"/>
      <w:sz w:val="28"/>
      <w:szCs w:val="28"/>
    </w:rPr>
  </w:style>
  <w:style w:type="character" w:customStyle="1" w:styleId="205">
    <w:name w:val="style9"/>
    <w:basedOn w:val="56"/>
    <w:qFormat/>
    <w:uiPriority w:val="0"/>
  </w:style>
  <w:style w:type="character" w:customStyle="1" w:styleId="206">
    <w:name w:val="Char Char10"/>
    <w:qFormat/>
    <w:uiPriority w:val="0"/>
    <w:rPr>
      <w:rFonts w:eastAsia="宋体"/>
      <w:b/>
      <w:bCs/>
      <w:kern w:val="44"/>
      <w:sz w:val="44"/>
      <w:szCs w:val="44"/>
      <w:lang w:val="en-US" w:eastAsia="zh-CN" w:bidi="ar-SA"/>
    </w:rPr>
  </w:style>
  <w:style w:type="character" w:customStyle="1" w:styleId="207">
    <w:name w:val="标题 2 Char Char Char Char Char Char"/>
    <w:uiPriority w:val="0"/>
    <w:rPr>
      <w:rFonts w:ascii="Arial" w:hAnsi="Arial" w:eastAsia="黑体"/>
      <w:b/>
      <w:bCs/>
      <w:kern w:val="2"/>
      <w:sz w:val="32"/>
      <w:szCs w:val="32"/>
      <w:lang w:val="en-US" w:eastAsia="zh-CN" w:bidi="ar-SA"/>
    </w:rPr>
  </w:style>
  <w:style w:type="character" w:customStyle="1" w:styleId="208">
    <w:name w:val="标题 5 Char"/>
    <w:link w:val="7"/>
    <w:qFormat/>
    <w:uiPriority w:val="0"/>
    <w:rPr>
      <w:rFonts w:eastAsia="宋体"/>
      <w:kern w:val="2"/>
      <w:sz w:val="18"/>
      <w:szCs w:val="18"/>
      <w:lang w:val="en-US" w:eastAsia="zh-CN" w:bidi="ar-SA"/>
    </w:rPr>
  </w:style>
  <w:style w:type="character" w:customStyle="1" w:styleId="209">
    <w:name w:val="标题 9 Char"/>
    <w:link w:val="10"/>
    <w:qFormat/>
    <w:uiPriority w:val="0"/>
    <w:rPr>
      <w:rFonts w:ascii="仿宋_GB2312" w:eastAsia="仿宋_GB2312"/>
      <w:kern w:val="2"/>
      <w:sz w:val="30"/>
      <w:szCs w:val="24"/>
      <w:lang w:val="en-US" w:eastAsia="zh-CN" w:bidi="ar-SA"/>
    </w:rPr>
  </w:style>
  <w:style w:type="character" w:customStyle="1" w:styleId="210">
    <w:name w:val="f14px lineheight200"/>
    <w:basedOn w:val="56"/>
    <w:qFormat/>
    <w:uiPriority w:val="0"/>
  </w:style>
  <w:style w:type="character" w:customStyle="1" w:styleId="211">
    <w:name w:val="hei111"/>
    <w:qFormat/>
    <w:uiPriority w:val="0"/>
    <w:rPr>
      <w:rFonts w:hint="default" w:ascii="ˎ̥" w:hAnsi="ˎ̥"/>
      <w:color w:val="000000"/>
      <w:sz w:val="21"/>
      <w:szCs w:val="21"/>
      <w:u w:val="none"/>
    </w:rPr>
  </w:style>
  <w:style w:type="character" w:customStyle="1" w:styleId="212">
    <w:name w:val="标题 8 Char"/>
    <w:link w:val="9"/>
    <w:qFormat/>
    <w:uiPriority w:val="0"/>
    <w:rPr>
      <w:rFonts w:eastAsia="宋体"/>
      <w:b/>
      <w:bCs/>
      <w:kern w:val="2"/>
      <w:sz w:val="32"/>
      <w:szCs w:val="32"/>
      <w:lang w:val="en-US" w:eastAsia="zh-CN" w:bidi="ar-SA"/>
    </w:rPr>
  </w:style>
  <w:style w:type="character" w:customStyle="1" w:styleId="213">
    <w:name w:val="short_text"/>
    <w:basedOn w:val="56"/>
    <w:qFormat/>
    <w:uiPriority w:val="0"/>
  </w:style>
  <w:style w:type="character" w:customStyle="1" w:styleId="214">
    <w:name w:val="Style1 Char"/>
    <w:link w:val="215"/>
    <w:qFormat/>
    <w:uiPriority w:val="0"/>
    <w:rPr>
      <w:rFonts w:ascii="Arial" w:hAnsi="Arial" w:eastAsia="宋体"/>
      <w:kern w:val="2"/>
      <w:sz w:val="24"/>
      <w:szCs w:val="24"/>
      <w:lang w:val="en-US" w:eastAsia="zh-CN" w:bidi="ar-SA"/>
    </w:rPr>
  </w:style>
  <w:style w:type="paragraph" w:customStyle="1" w:styleId="215">
    <w:name w:val="Style1"/>
    <w:basedOn w:val="1"/>
    <w:link w:val="214"/>
    <w:uiPriority w:val="0"/>
    <w:rPr>
      <w:rFonts w:ascii="Arial" w:hAnsi="Arial"/>
      <w:sz w:val="24"/>
      <w:szCs w:val="24"/>
    </w:rPr>
  </w:style>
  <w:style w:type="character" w:customStyle="1" w:styleId="216">
    <w:name w:val="正文2 Char"/>
    <w:link w:val="217"/>
    <w:qFormat/>
    <w:locked/>
    <w:uiPriority w:val="0"/>
    <w:rPr>
      <w:kern w:val="2"/>
      <w:sz w:val="24"/>
      <w:szCs w:val="24"/>
      <w:lang w:bidi="ar-SA"/>
    </w:rPr>
  </w:style>
  <w:style w:type="paragraph" w:customStyle="1" w:styleId="217">
    <w:name w:val="正文2"/>
    <w:basedOn w:val="1"/>
    <w:next w:val="1"/>
    <w:link w:val="216"/>
    <w:uiPriority w:val="0"/>
    <w:pPr>
      <w:spacing w:beforeLines="50" w:line="312" w:lineRule="auto"/>
      <w:ind w:firstLine="200" w:firstLineChars="200"/>
      <w:jc w:val="left"/>
    </w:pPr>
    <w:rPr>
      <w:sz w:val="24"/>
      <w:szCs w:val="24"/>
    </w:rPr>
  </w:style>
  <w:style w:type="character" w:customStyle="1" w:styleId="218">
    <w:name w:val="批注框文本 Char"/>
    <w:qFormat/>
    <w:uiPriority w:val="99"/>
    <w:rPr>
      <w:kern w:val="2"/>
      <w:sz w:val="18"/>
      <w:szCs w:val="18"/>
    </w:rPr>
  </w:style>
  <w:style w:type="character" w:customStyle="1" w:styleId="219">
    <w:name w:val="hei41"/>
    <w:qFormat/>
    <w:uiPriority w:val="0"/>
    <w:rPr>
      <w:color w:val="000000"/>
      <w:spacing w:val="330"/>
      <w:sz w:val="21"/>
      <w:szCs w:val="21"/>
      <w:u w:val="none"/>
    </w:rPr>
  </w:style>
  <w:style w:type="character" w:customStyle="1" w:styleId="220">
    <w:name w:val="样式 仿宋_GB2312 三号1 Char"/>
    <w:qFormat/>
    <w:uiPriority w:val="0"/>
    <w:rPr>
      <w:rFonts w:ascii="仿宋_GB2312" w:hAnsi="宋体" w:eastAsia="仿宋_GB2312"/>
      <w:kern w:val="2"/>
      <w:sz w:val="32"/>
      <w:szCs w:val="24"/>
      <w:lang w:val="en-US" w:eastAsia="zh-CN" w:bidi="ar-SA"/>
    </w:rPr>
  </w:style>
  <w:style w:type="character" w:customStyle="1" w:styleId="221">
    <w:name w:val="p15 Char"/>
    <w:link w:val="222"/>
    <w:qFormat/>
    <w:uiPriority w:val="0"/>
    <w:rPr>
      <w:rFonts w:ascii="宋体" w:hAnsi="宋体" w:eastAsia="宋体"/>
      <w:sz w:val="21"/>
      <w:szCs w:val="21"/>
      <w:lang w:val="en-US" w:eastAsia="zh-CN" w:bidi="ar-SA"/>
    </w:rPr>
  </w:style>
  <w:style w:type="paragraph" w:customStyle="1" w:styleId="222">
    <w:name w:val="p15"/>
    <w:basedOn w:val="1"/>
    <w:link w:val="221"/>
    <w:qFormat/>
    <w:uiPriority w:val="0"/>
    <w:pPr>
      <w:widowControl/>
    </w:pPr>
    <w:rPr>
      <w:rFonts w:ascii="宋体" w:hAnsi="宋体"/>
      <w:kern w:val="0"/>
      <w:szCs w:val="21"/>
    </w:rPr>
  </w:style>
  <w:style w:type="character" w:customStyle="1" w:styleId="223">
    <w:name w:val="cmt1"/>
    <w:qFormat/>
    <w:uiPriority w:val="0"/>
  </w:style>
  <w:style w:type="character" w:customStyle="1" w:styleId="224">
    <w:name w:val="正文-无编号 Char"/>
    <w:link w:val="225"/>
    <w:qFormat/>
    <w:uiPriority w:val="0"/>
    <w:rPr>
      <w:rFonts w:ascii="仿宋" w:hAnsi="仿宋" w:eastAsia="仿宋"/>
      <w:sz w:val="32"/>
      <w:szCs w:val="32"/>
      <w:lang w:val="en-US" w:eastAsia="zh-CN" w:bidi="ar-SA"/>
    </w:rPr>
  </w:style>
  <w:style w:type="paragraph" w:customStyle="1" w:styleId="225">
    <w:name w:val="正文-无编号"/>
    <w:basedOn w:val="1"/>
    <w:link w:val="224"/>
    <w:qFormat/>
    <w:uiPriority w:val="0"/>
    <w:pPr>
      <w:widowControl/>
      <w:ind w:firstLine="640" w:firstLineChars="200"/>
      <w:contextualSpacing/>
    </w:pPr>
    <w:rPr>
      <w:rFonts w:ascii="仿宋" w:hAnsi="仿宋" w:eastAsia="仿宋"/>
      <w:kern w:val="0"/>
      <w:sz w:val="32"/>
      <w:szCs w:val="32"/>
    </w:rPr>
  </w:style>
  <w:style w:type="character" w:customStyle="1" w:styleId="226">
    <w:name w:val="专栏样式 Char"/>
    <w:link w:val="227"/>
    <w:qFormat/>
    <w:uiPriority w:val="0"/>
    <w:rPr>
      <w:rFonts w:ascii="宋体" w:hAnsi="宋体" w:eastAsia="宋体"/>
      <w:kern w:val="2"/>
      <w:sz w:val="24"/>
      <w:szCs w:val="22"/>
      <w:lang w:val="en-US" w:eastAsia="zh-CN" w:bidi="ar-SA"/>
    </w:rPr>
  </w:style>
  <w:style w:type="paragraph" w:customStyle="1" w:styleId="227">
    <w:name w:val="专栏样式"/>
    <w:basedOn w:val="1"/>
    <w:link w:val="226"/>
    <w:qFormat/>
    <w:uiPriority w:val="0"/>
    <w:pPr>
      <w:pBdr>
        <w:top w:val="single" w:color="auto" w:sz="4" w:space="1"/>
        <w:left w:val="single" w:color="auto" w:sz="4" w:space="4"/>
        <w:bottom w:val="single" w:color="auto" w:sz="4" w:space="1"/>
        <w:right w:val="single" w:color="auto" w:sz="4" w:space="4"/>
      </w:pBdr>
      <w:spacing w:line="288" w:lineRule="auto"/>
    </w:pPr>
    <w:rPr>
      <w:rFonts w:ascii="宋体" w:hAnsi="宋体"/>
      <w:sz w:val="24"/>
    </w:rPr>
  </w:style>
  <w:style w:type="character" w:customStyle="1" w:styleId="228">
    <w:name w:val="批注引用1"/>
    <w:qFormat/>
    <w:uiPriority w:val="0"/>
    <w:rPr>
      <w:rFonts w:ascii="Times New Roman" w:hAnsi="Times New Roman" w:cs="Times New Roman"/>
      <w:sz w:val="21"/>
      <w:szCs w:val="21"/>
    </w:rPr>
  </w:style>
  <w:style w:type="character" w:customStyle="1" w:styleId="229">
    <w:name w:val="Comment Subject Char"/>
    <w:link w:val="230"/>
    <w:qFormat/>
    <w:uiPriority w:val="0"/>
    <w:rPr>
      <w:b/>
      <w:bCs/>
      <w:lang w:bidi="ar-SA"/>
    </w:rPr>
  </w:style>
  <w:style w:type="paragraph" w:customStyle="1" w:styleId="230">
    <w:name w:val="批注主题1"/>
    <w:basedOn w:val="16"/>
    <w:next w:val="16"/>
    <w:link w:val="229"/>
    <w:uiPriority w:val="0"/>
    <w:pPr>
      <w:spacing w:line="360" w:lineRule="auto"/>
    </w:pPr>
    <w:rPr>
      <w:b/>
      <w:bCs/>
      <w:kern w:val="0"/>
      <w:sz w:val="20"/>
      <w:szCs w:val="20"/>
    </w:rPr>
  </w:style>
  <w:style w:type="character" w:customStyle="1" w:styleId="231">
    <w:name w:val="value1"/>
    <w:basedOn w:val="56"/>
    <w:qFormat/>
    <w:uiPriority w:val="0"/>
  </w:style>
  <w:style w:type="character" w:customStyle="1" w:styleId="232">
    <w:name w:val="eee"/>
    <w:basedOn w:val="56"/>
    <w:qFormat/>
    <w:uiPriority w:val="0"/>
  </w:style>
  <w:style w:type="character" w:customStyle="1" w:styleId="233">
    <w:name w:val="样式2 Char"/>
    <w:link w:val="234"/>
    <w:qFormat/>
    <w:uiPriority w:val="0"/>
    <w:rPr>
      <w:rFonts w:ascii="仿宋_GB2312" w:hAnsi="宋体" w:eastAsia="仿宋_GB2312"/>
      <w:b/>
      <w:kern w:val="2"/>
      <w:sz w:val="32"/>
      <w:szCs w:val="32"/>
      <w:lang w:val="en-US" w:eastAsia="zh-CN" w:bidi="ar-SA"/>
    </w:rPr>
  </w:style>
  <w:style w:type="paragraph" w:customStyle="1" w:styleId="234">
    <w:name w:val="样式2"/>
    <w:basedOn w:val="1"/>
    <w:link w:val="233"/>
    <w:qFormat/>
    <w:uiPriority w:val="0"/>
    <w:pPr>
      <w:spacing w:line="600" w:lineRule="exact"/>
      <w:jc w:val="center"/>
      <w:outlineLvl w:val="1"/>
    </w:pPr>
    <w:rPr>
      <w:rFonts w:ascii="仿宋_GB2312" w:hAnsi="宋体" w:eastAsia="仿宋_GB2312"/>
      <w:b/>
      <w:sz w:val="32"/>
      <w:szCs w:val="32"/>
    </w:rPr>
  </w:style>
  <w:style w:type="character" w:customStyle="1" w:styleId="235">
    <w:name w:val="Heading 1 Char"/>
    <w:qFormat/>
    <w:locked/>
    <w:uiPriority w:val="0"/>
    <w:rPr>
      <w:rFonts w:eastAsia="宋体"/>
      <w:b/>
      <w:bCs/>
      <w:kern w:val="44"/>
      <w:sz w:val="44"/>
      <w:szCs w:val="44"/>
      <w:lang w:val="en-US" w:eastAsia="zh-CN" w:bidi="ar-SA"/>
    </w:rPr>
  </w:style>
  <w:style w:type="character" w:customStyle="1" w:styleId="236">
    <w:name w:val="CharAttribute7"/>
    <w:qFormat/>
    <w:uiPriority w:val="0"/>
    <w:rPr>
      <w:rFonts w:ascii="仿宋_GB2312" w:eastAsia="仿宋_GB2312"/>
      <w:sz w:val="32"/>
    </w:rPr>
  </w:style>
  <w:style w:type="character" w:customStyle="1" w:styleId="237">
    <w:name w:val="图表名 Char"/>
    <w:link w:val="238"/>
    <w:qFormat/>
    <w:uiPriority w:val="0"/>
    <w:rPr>
      <w:rFonts w:ascii="黑体" w:eastAsia="黑体" w:cs="宋体"/>
      <w:kern w:val="2"/>
      <w:sz w:val="24"/>
      <w:lang w:val="en-US" w:eastAsia="zh-CN" w:bidi="ar-SA"/>
    </w:rPr>
  </w:style>
  <w:style w:type="paragraph" w:customStyle="1" w:styleId="238">
    <w:name w:val="图表名"/>
    <w:basedOn w:val="1"/>
    <w:link w:val="237"/>
    <w:qFormat/>
    <w:uiPriority w:val="0"/>
    <w:pPr>
      <w:spacing w:before="156" w:after="156" w:line="360" w:lineRule="auto"/>
      <w:jc w:val="center"/>
    </w:pPr>
    <w:rPr>
      <w:rFonts w:ascii="黑体" w:eastAsia="黑体" w:cs="宋体"/>
      <w:sz w:val="24"/>
      <w:szCs w:val="20"/>
    </w:rPr>
  </w:style>
  <w:style w:type="character" w:customStyle="1" w:styleId="239">
    <w:name w:val="identication Char"/>
    <w:qFormat/>
    <w:uiPriority w:val="0"/>
    <w:rPr>
      <w:rFonts w:ascii="宋体" w:hAnsi="Arial" w:eastAsia="宋体" w:cs="宋体"/>
      <w:snapToGrid/>
      <w:color w:val="000000"/>
      <w:kern w:val="2"/>
      <w:position w:val="6"/>
      <w:sz w:val="24"/>
      <w:szCs w:val="28"/>
      <w:lang w:val="en-US" w:eastAsia="zh-CN" w:bidi="ar-SA"/>
    </w:rPr>
  </w:style>
  <w:style w:type="character" w:customStyle="1" w:styleId="240">
    <w:name w:val="主题03"/>
    <w:basedOn w:val="56"/>
    <w:qFormat/>
    <w:uiPriority w:val="0"/>
  </w:style>
  <w:style w:type="character" w:customStyle="1" w:styleId="241">
    <w:name w:val="表头 Char"/>
    <w:link w:val="242"/>
    <w:qFormat/>
    <w:uiPriority w:val="0"/>
    <w:rPr>
      <w:rFonts w:ascii="黑体" w:eastAsia="黑体" w:cs="宋体"/>
      <w:kern w:val="2"/>
      <w:sz w:val="21"/>
      <w:szCs w:val="21"/>
      <w:lang w:val="en-US" w:eastAsia="zh-CN" w:bidi="ar-SA"/>
    </w:rPr>
  </w:style>
  <w:style w:type="paragraph" w:customStyle="1" w:styleId="242">
    <w:name w:val="表头"/>
    <w:basedOn w:val="1"/>
    <w:link w:val="241"/>
    <w:qFormat/>
    <w:uiPriority w:val="0"/>
    <w:pPr>
      <w:spacing w:beforeLines="30" w:afterLines="30"/>
      <w:jc w:val="center"/>
    </w:pPr>
    <w:rPr>
      <w:rFonts w:ascii="黑体" w:eastAsia="黑体" w:cs="宋体"/>
      <w:szCs w:val="21"/>
    </w:rPr>
  </w:style>
  <w:style w:type="paragraph" w:customStyle="1" w:styleId="243">
    <w:name w:val="Revision"/>
    <w:semiHidden/>
    <w:qFormat/>
    <w:uiPriority w:val="0"/>
    <w:rPr>
      <w:rFonts w:ascii="Calibri" w:hAnsi="Calibri" w:eastAsia="宋体" w:cs="Times New Roman"/>
      <w:kern w:val="2"/>
      <w:sz w:val="21"/>
      <w:szCs w:val="24"/>
      <w:lang w:val="en-US" w:eastAsia="zh-CN" w:bidi="ar-SA"/>
    </w:rPr>
  </w:style>
  <w:style w:type="paragraph" w:customStyle="1" w:styleId="244">
    <w:name w:val="正文 New New New New New New New New New New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245">
    <w:name w:val="表格标题"/>
    <w:basedOn w:val="1"/>
    <w:qFormat/>
    <w:uiPriority w:val="0"/>
    <w:rPr>
      <w:rFonts w:ascii="Times New Roman" w:hAnsi="Times New Roman" w:eastAsia="仿宋_GB2312"/>
      <w:b/>
      <w:sz w:val="24"/>
      <w:szCs w:val="24"/>
    </w:rPr>
  </w:style>
  <w:style w:type="paragraph" w:customStyle="1" w:styleId="246">
    <w:name w:val="xl2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7">
    <w:name w:val="正文样式1"/>
    <w:basedOn w:val="1"/>
    <w:qFormat/>
    <w:uiPriority w:val="0"/>
    <w:pPr>
      <w:suppressAutoHyphens/>
      <w:spacing w:line="400" w:lineRule="atLeast"/>
      <w:ind w:firstLine="200" w:firstLineChars="200"/>
    </w:pPr>
    <w:rPr>
      <w:rFonts w:ascii="Times New Roman" w:hAnsi="Times New Roman"/>
      <w:kern w:val="1"/>
      <w:sz w:val="24"/>
      <w:szCs w:val="24"/>
      <w:lang w:eastAsia="ar-SA"/>
    </w:rPr>
  </w:style>
  <w:style w:type="paragraph" w:customStyle="1" w:styleId="248">
    <w:name w:val="样式 样式 标题 1h1 + (中文) 黑体 小三 左侧:  0 磅 悬挂缩进: 11.34 字符 段前: 18 磅 段后......"/>
    <w:basedOn w:val="249"/>
    <w:qFormat/>
    <w:uiPriority w:val="0"/>
    <w:pPr>
      <w:numPr>
        <w:numId w:val="0"/>
      </w:numPr>
      <w:tabs>
        <w:tab w:val="left" w:pos="425"/>
      </w:tabs>
    </w:pPr>
    <w:rPr>
      <w:sz w:val="32"/>
    </w:rPr>
  </w:style>
  <w:style w:type="paragraph" w:customStyle="1" w:styleId="249">
    <w:name w:val="样式 标题 1h1 + (中文) 黑体 小三 左侧:  0 磅 悬挂缩进: 11.34 字符 段前: 18 磅 段后..."/>
    <w:basedOn w:val="2"/>
    <w:qFormat/>
    <w:uiPriority w:val="0"/>
    <w:pPr>
      <w:numPr>
        <w:ilvl w:val="0"/>
        <w:numId w:val="2"/>
      </w:numPr>
      <w:tabs>
        <w:tab w:val="left" w:pos="420"/>
      </w:tabs>
      <w:spacing w:before="200" w:after="200" w:line="360" w:lineRule="auto"/>
      <w:jc w:val="center"/>
    </w:pPr>
    <w:rPr>
      <w:rFonts w:eastAsia="黑体" w:cs="宋体"/>
      <w:szCs w:val="20"/>
    </w:rPr>
  </w:style>
  <w:style w:type="paragraph" w:customStyle="1" w:styleId="250">
    <w:name w:val="xl1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251">
    <w:name w:val="xl28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52">
    <w:name w:val="Char1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253">
    <w:name w:val="xl280"/>
    <w:basedOn w:val="1"/>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254">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255">
    <w:name w:val="Char Char Char2 Char"/>
    <w:basedOn w:val="1"/>
    <w:semiHidden/>
    <w:uiPriority w:val="0"/>
    <w:rPr>
      <w:rFonts w:ascii="Tahoma" w:hAnsi="Tahoma"/>
      <w:sz w:val="24"/>
      <w:szCs w:val="20"/>
    </w:rPr>
  </w:style>
  <w:style w:type="paragraph" w:customStyle="1" w:styleId="256">
    <w:name w:val="表标题"/>
    <w:basedOn w:val="1"/>
    <w:uiPriority w:val="0"/>
    <w:pPr>
      <w:widowControl/>
      <w:jc w:val="center"/>
    </w:pPr>
    <w:rPr>
      <w:rFonts w:ascii="Times New Roman" w:hAnsi="Times New Roman" w:eastAsia="仿宋_GB2312"/>
      <w:kern w:val="0"/>
      <w:sz w:val="24"/>
      <w:szCs w:val="24"/>
    </w:rPr>
  </w:style>
  <w:style w:type="paragraph" w:customStyle="1" w:styleId="257">
    <w:name w:val="Char1 Char Char Char Char Char Char"/>
    <w:basedOn w:val="1"/>
    <w:uiPriority w:val="0"/>
    <w:pPr>
      <w:spacing w:line="360" w:lineRule="auto"/>
      <w:ind w:firstLine="200" w:firstLineChars="200"/>
    </w:pPr>
    <w:rPr>
      <w:rFonts w:ascii="宋体" w:hAnsi="宋体" w:cs="宋体"/>
      <w:sz w:val="24"/>
      <w:szCs w:val="24"/>
    </w:rPr>
  </w:style>
  <w:style w:type="paragraph" w:customStyle="1" w:styleId="258">
    <w:name w:val="WW-普通(Web)"/>
    <w:basedOn w:val="1"/>
    <w:qFormat/>
    <w:uiPriority w:val="0"/>
    <w:pPr>
      <w:widowControl/>
      <w:suppressAutoHyphens/>
      <w:spacing w:before="280" w:after="280"/>
      <w:jc w:val="left"/>
    </w:pPr>
    <w:rPr>
      <w:rFonts w:ascii="宋体" w:hAnsi="宋体" w:cs="宋体"/>
      <w:kern w:val="1"/>
      <w:sz w:val="24"/>
      <w:szCs w:val="24"/>
      <w:lang w:eastAsia="ar-SA"/>
    </w:rPr>
  </w:style>
  <w:style w:type="paragraph" w:customStyle="1" w:styleId="25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60">
    <w:name w:val="xl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261">
    <w:name w:val="默认段落字体 Para Char"/>
    <w:basedOn w:val="1"/>
    <w:qFormat/>
    <w:uiPriority w:val="0"/>
    <w:rPr>
      <w:rFonts w:ascii="Times New Roman" w:hAnsi="Times New Roman"/>
      <w:szCs w:val="24"/>
    </w:rPr>
  </w:style>
  <w:style w:type="paragraph" w:customStyle="1" w:styleId="262">
    <w:name w:val="表格文字"/>
    <w:basedOn w:val="1"/>
    <w:uiPriority w:val="0"/>
    <w:pPr>
      <w:spacing w:before="280" w:after="290" w:line="288" w:lineRule="auto"/>
      <w:jc w:val="center"/>
    </w:pPr>
    <w:rPr>
      <w:rFonts w:ascii="Times New Roman" w:hAnsi="Times New Roman"/>
      <w:szCs w:val="24"/>
    </w:rPr>
  </w:style>
  <w:style w:type="paragraph" w:customStyle="1" w:styleId="263">
    <w:name w:val="xl277"/>
    <w:basedOn w:val="1"/>
    <w:qFormat/>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264">
    <w:name w:val="正文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265">
    <w:name w:val="xl27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266">
    <w:name w:val="样式 正文文本 + 仿宋_GB2312 三号 两端对齐"/>
    <w:basedOn w:val="20"/>
    <w:qFormat/>
    <w:uiPriority w:val="0"/>
    <w:pPr>
      <w:spacing w:beforeLines="25" w:afterLines="25" w:line="440" w:lineRule="exact"/>
      <w:ind w:firstLine="200" w:firstLineChars="200"/>
    </w:pPr>
    <w:rPr>
      <w:rFonts w:ascii="仿宋_GB2312" w:cs="宋体"/>
      <w:sz w:val="24"/>
    </w:rPr>
  </w:style>
  <w:style w:type="paragraph" w:customStyle="1" w:styleId="267">
    <w:name w:val="Char Char2 Char"/>
    <w:basedOn w:val="1"/>
    <w:qFormat/>
    <w:uiPriority w:val="0"/>
    <w:pPr>
      <w:widowControl/>
      <w:spacing w:after="160" w:line="240" w:lineRule="exact"/>
      <w:jc w:val="left"/>
    </w:pPr>
    <w:rPr>
      <w:rFonts w:ascii="Verdana" w:hAnsi="Verdana"/>
      <w:color w:val="000000"/>
      <w:kern w:val="0"/>
      <w:sz w:val="32"/>
      <w:szCs w:val="20"/>
      <w:lang w:eastAsia="en-US"/>
    </w:rPr>
  </w:style>
  <w:style w:type="paragraph" w:customStyle="1" w:styleId="268">
    <w:name w:val="样式 题注 + 居中"/>
    <w:basedOn w:val="13"/>
    <w:qFormat/>
    <w:uiPriority w:val="0"/>
    <w:pPr>
      <w:spacing w:line="360" w:lineRule="auto"/>
      <w:jc w:val="center"/>
    </w:pPr>
    <w:rPr>
      <w:rFonts w:ascii="宋体" w:hAnsi="宋体" w:eastAsia="宋体" w:cs="宋体"/>
      <w:b/>
      <w:color w:val="FF0000"/>
      <w:sz w:val="32"/>
      <w:szCs w:val="21"/>
    </w:rPr>
  </w:style>
  <w:style w:type="paragraph" w:customStyle="1" w:styleId="269">
    <w:name w:val="xl276"/>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270">
    <w:name w:val="图"/>
    <w:basedOn w:val="188"/>
    <w:uiPriority w:val="0"/>
    <w:pPr>
      <w:ind w:firstLine="0" w:firstLineChars="0"/>
      <w:jc w:val="center"/>
    </w:pPr>
  </w:style>
  <w:style w:type="paragraph" w:customStyle="1" w:styleId="271">
    <w:name w:val="正文 New New New New New"/>
    <w:qFormat/>
    <w:uiPriority w:val="0"/>
    <w:pPr>
      <w:widowControl w:val="0"/>
      <w:topLinePunct/>
      <w:jc w:val="both"/>
    </w:pPr>
    <w:rPr>
      <w:rFonts w:ascii="方正书宋_GBK" w:hAnsi="Calibri" w:eastAsia="方正书宋_GBK" w:cs="Times New Roman"/>
      <w:kern w:val="2"/>
      <w:sz w:val="21"/>
      <w:szCs w:val="24"/>
      <w:lang w:val="en-US" w:eastAsia="zh-CN" w:bidi="ar-SA"/>
    </w:rPr>
  </w:style>
  <w:style w:type="paragraph" w:customStyle="1" w:styleId="272">
    <w:name w:val="xl27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273">
    <w:name w:val="title18centerblackboldfac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4">
    <w:name w:val="样式 (符号) 宋体 小四 行距: 1.5 倍行距"/>
    <w:basedOn w:val="1"/>
    <w:semiHidden/>
    <w:qFormat/>
    <w:uiPriority w:val="0"/>
    <w:pPr>
      <w:spacing w:line="360" w:lineRule="auto"/>
      <w:ind w:firstLine="480" w:firstLineChars="200"/>
    </w:pPr>
    <w:rPr>
      <w:rFonts w:ascii="Times New Roman" w:hAnsi="宋体" w:eastAsia="仿宋_GB2312" w:cs="宋体"/>
      <w:sz w:val="24"/>
      <w:szCs w:val="20"/>
    </w:rPr>
  </w:style>
  <w:style w:type="paragraph" w:customStyle="1" w:styleId="275">
    <w:name w:val="Char Char Char Char Char Char Char Char Char Char Char Char Char"/>
    <w:basedOn w:val="1"/>
    <w:uiPriority w:val="0"/>
    <w:pPr>
      <w:spacing w:line="360" w:lineRule="auto"/>
      <w:ind w:firstLine="200" w:firstLineChars="200"/>
    </w:pPr>
    <w:rPr>
      <w:rFonts w:ascii="宋体" w:hAnsi="宋体" w:cs="宋体"/>
      <w:sz w:val="24"/>
    </w:rPr>
  </w:style>
  <w:style w:type="paragraph" w:customStyle="1" w:styleId="276">
    <w:name w:val="正文 + 宋体"/>
    <w:basedOn w:val="1"/>
    <w:qFormat/>
    <w:uiPriority w:val="0"/>
    <w:pPr>
      <w:suppressAutoHyphens/>
      <w:spacing w:line="400" w:lineRule="atLeast"/>
      <w:ind w:firstLine="200" w:firstLineChars="200"/>
    </w:pPr>
    <w:rPr>
      <w:rFonts w:ascii="宋体" w:hAnsi="宋体"/>
      <w:kern w:val="1"/>
      <w:sz w:val="24"/>
      <w:szCs w:val="24"/>
      <w:lang w:eastAsia="ar-SA"/>
    </w:rPr>
  </w:style>
  <w:style w:type="paragraph" w:customStyle="1" w:styleId="277">
    <w:name w:val="font1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78">
    <w:name w:val="正文lgl"/>
    <w:basedOn w:val="1"/>
    <w:uiPriority w:val="0"/>
    <w:pPr>
      <w:spacing w:line="360" w:lineRule="auto"/>
      <w:ind w:firstLine="480" w:firstLineChars="200"/>
    </w:pPr>
    <w:rPr>
      <w:rFonts w:ascii="Times New Roman" w:hAnsi="宋体" w:eastAsia="仿宋_GB2312" w:cs="宋体"/>
      <w:sz w:val="28"/>
      <w:szCs w:val="28"/>
    </w:rPr>
  </w:style>
  <w:style w:type="paragraph" w:customStyle="1" w:styleId="279">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280">
    <w:name w:val="TOC 标题1"/>
    <w:basedOn w:val="2"/>
    <w:next w:val="1"/>
    <w:uiPriority w:val="0"/>
    <w:pPr>
      <w:widowControl/>
      <w:spacing w:after="0" w:line="259" w:lineRule="auto"/>
      <w:jc w:val="left"/>
      <w:outlineLvl w:val="9"/>
    </w:pPr>
    <w:rPr>
      <w:rFonts w:ascii="Calibri Light" w:hAnsi="Calibri Light"/>
      <w:b/>
      <w:bCs w:val="0"/>
      <w:color w:val="2E74B5"/>
      <w:kern w:val="0"/>
      <w:sz w:val="32"/>
      <w:szCs w:val="32"/>
    </w:rPr>
  </w:style>
  <w:style w:type="paragraph" w:customStyle="1" w:styleId="281">
    <w:name w:val="xl1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2">
    <w:name w:val="样式 标题 4 + 右侧:  1.83 字符"/>
    <w:basedOn w:val="6"/>
    <w:qFormat/>
    <w:uiPriority w:val="0"/>
    <w:pPr>
      <w:keepNext/>
      <w:keepLines/>
      <w:tabs>
        <w:tab w:val="clear" w:pos="1134"/>
      </w:tabs>
      <w:spacing w:beforeLines="50" w:after="100" w:line="240" w:lineRule="auto"/>
      <w:ind w:left="0" w:firstLine="0" w:firstLineChars="0"/>
    </w:pPr>
    <w:rPr>
      <w:rFonts w:ascii="仿宋" w:hAnsi="仿宋" w:eastAsia="仿宋" w:cs="宋体"/>
      <w:b/>
      <w:bCs/>
      <w:sz w:val="32"/>
      <w:szCs w:val="20"/>
    </w:rPr>
  </w:style>
  <w:style w:type="paragraph" w:customStyle="1" w:styleId="283">
    <w:name w:val="xl2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Char Char Char Char Char Char Char"/>
    <w:basedOn w:val="1"/>
    <w:qFormat/>
    <w:uiPriority w:val="0"/>
    <w:rPr>
      <w:rFonts w:ascii="Times New Roman" w:hAnsi="Times New Roman"/>
      <w:szCs w:val="24"/>
    </w:rPr>
  </w:style>
  <w:style w:type="paragraph" w:customStyle="1" w:styleId="285">
    <w:name w:val="Char1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286">
    <w:name w:val="xl278"/>
    <w:basedOn w:val="1"/>
    <w:qFormat/>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287">
    <w:name w:val="秘密紧急"/>
    <w:basedOn w:val="1"/>
    <w:qFormat/>
    <w:uiPriority w:val="0"/>
    <w:pPr>
      <w:suppressAutoHyphens/>
      <w:jc w:val="right"/>
    </w:pPr>
    <w:rPr>
      <w:rFonts w:ascii="黑体" w:hAnsi="黑体" w:eastAsia="黑体"/>
      <w:kern w:val="0"/>
      <w:sz w:val="32"/>
      <w:szCs w:val="20"/>
    </w:rPr>
  </w:style>
  <w:style w:type="paragraph" w:customStyle="1" w:styleId="288">
    <w:name w:val="文件正文"/>
    <w:basedOn w:val="39"/>
    <w:qFormat/>
    <w:uiPriority w:val="0"/>
    <w:pPr>
      <w:spacing w:before="0" w:after="0" w:line="560" w:lineRule="exact"/>
      <w:ind w:firstLine="622"/>
      <w:jc w:val="both"/>
      <w:outlineLvl w:val="9"/>
    </w:pPr>
    <w:rPr>
      <w:rFonts w:ascii="仿宋_GB2312" w:hAnsi="仿宋_GB2312" w:eastAsia="仿宋_GB2312" w:cs="仿宋_GB2312"/>
      <w:bCs w:val="0"/>
      <w:kern w:val="2"/>
    </w:rPr>
  </w:style>
  <w:style w:type="paragraph" w:customStyle="1" w:styleId="289">
    <w:name w:val="xl275"/>
    <w:basedOn w:val="1"/>
    <w:qFormat/>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290">
    <w:name w:val="样式 正文缩进四号 + 首行缩进:  2 字符"/>
    <w:basedOn w:val="188"/>
    <w:uiPriority w:val="0"/>
    <w:pPr>
      <w:spacing w:line="360" w:lineRule="auto"/>
    </w:pPr>
    <w:rPr>
      <w:snapToGrid w:val="0"/>
      <w:kern w:val="0"/>
      <w:sz w:val="24"/>
    </w:rPr>
  </w:style>
  <w:style w:type="character" w:customStyle="1" w:styleId="291">
    <w:name w:val="页眉 Char1"/>
    <w:basedOn w:val="56"/>
    <w:link w:val="34"/>
    <w:qFormat/>
    <w:uiPriority w:val="99"/>
    <w:rPr>
      <w:kern w:val="2"/>
      <w:sz w:val="18"/>
      <w:szCs w:val="18"/>
    </w:rPr>
  </w:style>
  <w:style w:type="paragraph" w:customStyle="1" w:styleId="292">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3">
    <w:name w:val="font11"/>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94">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
    <w:name w:val="xl150"/>
    <w:basedOn w:val="1"/>
    <w:qFormat/>
    <w:uiPriority w:val="0"/>
    <w:pPr>
      <w:widowControl/>
      <w:pBdr>
        <w:top w:val="single" w:color="auto" w:sz="4" w:space="0"/>
        <w:left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296">
    <w:name w:val="xl103"/>
    <w:basedOn w:val="1"/>
    <w:uiPriority w:val="0"/>
    <w:pPr>
      <w:widowControl/>
      <w:pBdr>
        <w:top w:val="single" w:color="auto" w:sz="4" w:space="0"/>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297">
    <w:name w:val="xl119"/>
    <w:basedOn w:val="1"/>
    <w:uiPriority w:val="0"/>
    <w:pPr>
      <w:widowControl/>
      <w:pBdr>
        <w:top w:val="single" w:color="auto" w:sz="4" w:space="0"/>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298">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9">
    <w:name w:val="xl2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1">
    <w:name w:val="Char1"/>
    <w:basedOn w:val="1"/>
    <w:qFormat/>
    <w:uiPriority w:val="0"/>
    <w:rPr>
      <w:rFonts w:ascii="Times New Roman" w:hAnsi="Times New Roman"/>
      <w:kern w:val="36"/>
      <w:sz w:val="36"/>
      <w:szCs w:val="24"/>
    </w:rPr>
  </w:style>
  <w:style w:type="paragraph" w:customStyle="1" w:styleId="302">
    <w:name w:val="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303">
    <w:name w:val="content"/>
    <w:basedOn w:val="1"/>
    <w:uiPriority w:val="0"/>
    <w:pPr>
      <w:widowControl/>
      <w:spacing w:line="300" w:lineRule="auto"/>
    </w:pPr>
    <w:rPr>
      <w:rFonts w:ascii="仿宋_GB2312" w:hAnsi="宋体" w:eastAsia="仿宋_GB2312"/>
      <w:kern w:val="0"/>
      <w:sz w:val="32"/>
      <w:szCs w:val="32"/>
    </w:rPr>
  </w:style>
  <w:style w:type="paragraph" w:customStyle="1" w:styleId="304">
    <w:name w:val="Char"/>
    <w:basedOn w:val="1"/>
    <w:uiPriority w:val="0"/>
    <w:rPr>
      <w:rFonts w:ascii="Times New Roman" w:hAnsi="Times New Roman"/>
      <w:szCs w:val="24"/>
    </w:rPr>
  </w:style>
  <w:style w:type="paragraph" w:customStyle="1" w:styleId="305">
    <w:name w:val="默认段落字体 Para Char Char"/>
    <w:basedOn w:val="1"/>
    <w:uiPriority w:val="0"/>
    <w:rPr>
      <w:rFonts w:ascii="Times New Roman" w:hAnsi="Times New Roman"/>
      <w:szCs w:val="24"/>
    </w:rPr>
  </w:style>
  <w:style w:type="paragraph" w:customStyle="1" w:styleId="306">
    <w:name w:val="正文文本缩进 21"/>
    <w:basedOn w:val="1"/>
    <w:qFormat/>
    <w:uiPriority w:val="0"/>
    <w:pPr>
      <w:overflowPunct w:val="0"/>
      <w:autoSpaceDE w:val="0"/>
      <w:autoSpaceDN w:val="0"/>
      <w:adjustRightInd w:val="0"/>
      <w:spacing w:before="156"/>
      <w:ind w:firstLine="480"/>
      <w:textAlignment w:val="baseline"/>
    </w:pPr>
    <w:rPr>
      <w:rFonts w:ascii="Times New Roman" w:hAnsi="Times New Roman"/>
      <w:sz w:val="24"/>
      <w:szCs w:val="20"/>
    </w:rPr>
  </w:style>
  <w:style w:type="paragraph" w:customStyle="1" w:styleId="307">
    <w:name w:val="Char Char Char Char Char Char"/>
    <w:basedOn w:val="1"/>
    <w:qFormat/>
    <w:uiPriority w:val="0"/>
    <w:rPr>
      <w:rFonts w:ascii="Tahoma" w:hAnsi="Tahoma" w:cs="Tahoma"/>
      <w:sz w:val="24"/>
      <w:szCs w:val="24"/>
    </w:rPr>
  </w:style>
  <w:style w:type="paragraph" w:customStyle="1" w:styleId="308">
    <w:name w:val="Char2"/>
    <w:basedOn w:val="1"/>
    <w:uiPriority w:val="0"/>
    <w:rPr>
      <w:rFonts w:ascii="Times New Roman" w:hAnsi="Times New Roman"/>
      <w:szCs w:val="24"/>
    </w:rPr>
  </w:style>
  <w:style w:type="paragraph" w:customStyle="1" w:styleId="309">
    <w:name w:val="正文表标题"/>
    <w:next w:val="310"/>
    <w:qFormat/>
    <w:uiPriority w:val="0"/>
    <w:pPr>
      <w:jc w:val="center"/>
    </w:pPr>
    <w:rPr>
      <w:rFonts w:ascii="黑体" w:hAnsi="Calibri" w:eastAsia="黑体" w:cs="Times New Roman"/>
      <w:sz w:val="21"/>
      <w:lang w:val="en-US" w:eastAsia="zh-CN" w:bidi="ar-SA"/>
    </w:rPr>
  </w:style>
  <w:style w:type="paragraph" w:customStyle="1" w:styleId="310">
    <w:name w:val="段"/>
    <w:qFormat/>
    <w:uiPriority w:val="0"/>
    <w:pPr>
      <w:autoSpaceDE w:val="0"/>
      <w:autoSpaceDN w:val="0"/>
      <w:jc w:val="both"/>
    </w:pPr>
    <w:rPr>
      <w:rFonts w:ascii="宋体" w:hAnsi="Calibri" w:eastAsia="宋体" w:cs="Times New Roman"/>
      <w:sz w:val="21"/>
      <w:lang w:val="en-US" w:eastAsia="zh-CN" w:bidi="ar-SA"/>
    </w:rPr>
  </w:style>
  <w:style w:type="paragraph" w:customStyle="1" w:styleId="311">
    <w:name w:val="章标题"/>
    <w:next w:val="310"/>
    <w:qFormat/>
    <w:uiPriority w:val="0"/>
    <w:pPr>
      <w:spacing w:before="50" w:after="50"/>
      <w:jc w:val="both"/>
      <w:outlineLvl w:val="1"/>
    </w:pPr>
    <w:rPr>
      <w:rFonts w:ascii="黑体" w:hAnsi="Calibri" w:eastAsia="黑体" w:cs="Times New Roman"/>
      <w:sz w:val="21"/>
      <w:lang w:val="en-US" w:eastAsia="zh-CN" w:bidi="ar-SA"/>
    </w:rPr>
  </w:style>
  <w:style w:type="paragraph" w:customStyle="1" w:styleId="312">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313">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314">
    <w:name w:val="Char1 Char Char Char"/>
    <w:basedOn w:val="1"/>
    <w:qFormat/>
    <w:uiPriority w:val="0"/>
    <w:rPr>
      <w:rFonts w:ascii="Tahoma" w:hAnsi="Tahoma"/>
      <w:sz w:val="24"/>
      <w:szCs w:val="20"/>
    </w:rPr>
  </w:style>
  <w:style w:type="paragraph" w:styleId="315">
    <w:name w:val="List Paragraph"/>
    <w:basedOn w:val="1"/>
    <w:qFormat/>
    <w:uiPriority w:val="0"/>
    <w:pPr>
      <w:ind w:firstLine="420" w:firstLineChars="200"/>
    </w:pPr>
  </w:style>
  <w:style w:type="paragraph" w:customStyle="1" w:styleId="316">
    <w:name w:val="Char Char Char Char1"/>
    <w:basedOn w:val="1"/>
    <w:uiPriority w:val="0"/>
    <w:pPr>
      <w:tabs>
        <w:tab w:val="left" w:pos="425"/>
      </w:tabs>
      <w:ind w:left="425" w:hanging="425"/>
    </w:pPr>
    <w:rPr>
      <w:rFonts w:ascii="Times New Roman" w:hAnsi="Times New Roman" w:eastAsia="仿宋_GB2312"/>
      <w:kern w:val="24"/>
      <w:sz w:val="24"/>
      <w:szCs w:val="32"/>
    </w:rPr>
  </w:style>
  <w:style w:type="paragraph" w:customStyle="1" w:styleId="317">
    <w:name w:val="ggbody"/>
    <w:basedOn w:val="1"/>
    <w:uiPriority w:val="0"/>
    <w:pPr>
      <w:widowControl/>
      <w:spacing w:before="100" w:beforeAutospacing="1" w:after="100" w:afterAutospacing="1" w:line="400" w:lineRule="atLeast"/>
      <w:jc w:val="left"/>
    </w:pPr>
    <w:rPr>
      <w:color w:val="000000"/>
      <w:kern w:val="0"/>
      <w:szCs w:val="21"/>
    </w:rPr>
  </w:style>
  <w:style w:type="paragraph" w:customStyle="1" w:styleId="318">
    <w:name w:val="默认段落字体 Para Char Char Char Char Char Char Char Char Char Char"/>
    <w:basedOn w:val="1"/>
    <w:qFormat/>
    <w:uiPriority w:val="0"/>
    <w:rPr>
      <w:rFonts w:ascii="Times New Roman" w:hAnsi="Times New Roman"/>
      <w:szCs w:val="24"/>
    </w:rPr>
  </w:style>
  <w:style w:type="paragraph" w:customStyle="1" w:styleId="319">
    <w:name w:val="msonormalcxspla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Char1 Char"/>
    <w:basedOn w:val="1"/>
    <w:qFormat/>
    <w:uiPriority w:val="0"/>
    <w:rPr>
      <w:rFonts w:ascii="Times New Roman" w:hAnsi="Times New Roman"/>
      <w:sz w:val="24"/>
      <w:szCs w:val="24"/>
    </w:rPr>
  </w:style>
  <w:style w:type="paragraph" w:customStyle="1" w:styleId="32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4"/>
      <w:szCs w:val="24"/>
    </w:rPr>
  </w:style>
  <w:style w:type="paragraph" w:customStyle="1" w:styleId="323">
    <w:name w:val="题注1"/>
    <w:basedOn w:val="1"/>
    <w:qFormat/>
    <w:uiPriority w:val="0"/>
    <w:pPr>
      <w:suppressLineNumbers/>
      <w:suppressAutoHyphens/>
      <w:spacing w:before="120" w:after="120"/>
      <w:jc w:val="center"/>
    </w:pPr>
    <w:rPr>
      <w:rFonts w:ascii="Times New Roman" w:hAnsi="Times New Roman" w:cs="Tahoma"/>
      <w:kern w:val="1"/>
      <w:sz w:val="18"/>
      <w:szCs w:val="18"/>
      <w:lang w:eastAsia="ar-SA"/>
    </w:rPr>
  </w:style>
  <w:style w:type="paragraph" w:customStyle="1" w:styleId="324">
    <w:name w:val="目录"/>
    <w:basedOn w:val="1"/>
    <w:qFormat/>
    <w:uiPriority w:val="0"/>
    <w:pPr>
      <w:suppressLineNumbers/>
      <w:suppressAutoHyphens/>
    </w:pPr>
    <w:rPr>
      <w:rFonts w:ascii="Times New Roman" w:hAnsi="Times New Roman" w:cs="Tahoma"/>
      <w:kern w:val="1"/>
      <w:szCs w:val="24"/>
      <w:lang w:eastAsia="ar-SA"/>
    </w:rPr>
  </w:style>
  <w:style w:type="paragraph" w:customStyle="1" w:styleId="325">
    <w:name w:val="表格内容"/>
    <w:basedOn w:val="20"/>
    <w:qFormat/>
    <w:uiPriority w:val="0"/>
    <w:pPr>
      <w:suppressLineNumbers/>
      <w:suppressAutoHyphens/>
    </w:pPr>
    <w:rPr>
      <w:kern w:val="1"/>
      <w:szCs w:val="21"/>
      <w:lang w:eastAsia="ar-SA"/>
    </w:rPr>
  </w:style>
  <w:style w:type="paragraph" w:customStyle="1" w:styleId="326">
    <w:name w:val="框内容"/>
    <w:basedOn w:val="20"/>
    <w:qFormat/>
    <w:uiPriority w:val="0"/>
    <w:pPr>
      <w:suppressAutoHyphens/>
      <w:ind w:firstLine="420"/>
    </w:pPr>
    <w:rPr>
      <w:kern w:val="1"/>
      <w:szCs w:val="21"/>
      <w:lang w:eastAsia="ar-SA"/>
    </w:rPr>
  </w:style>
  <w:style w:type="paragraph" w:customStyle="1" w:styleId="327">
    <w:name w:val="抄 送"/>
    <w:basedOn w:val="328"/>
    <w:qFormat/>
    <w:uiPriority w:val="0"/>
    <w:pPr>
      <w:suppressAutoHyphens w:val="0"/>
      <w:spacing w:before="74" w:after="74" w:line="580" w:lineRule="exact"/>
      <w:ind w:left="0" w:firstLine="0"/>
    </w:pPr>
    <w:rPr>
      <w:rFonts w:eastAsia="仿宋_GB2312"/>
      <w:kern w:val="2"/>
      <w:lang w:eastAsia="zh-CN"/>
    </w:rPr>
  </w:style>
  <w:style w:type="paragraph" w:customStyle="1" w:styleId="328">
    <w:name w:val="主题词"/>
    <w:basedOn w:val="1"/>
    <w:qFormat/>
    <w:uiPriority w:val="0"/>
    <w:pPr>
      <w:suppressAutoHyphens/>
      <w:ind w:left="1246" w:hanging="1246"/>
    </w:pPr>
    <w:rPr>
      <w:rFonts w:ascii="Times New Roman" w:hAnsi="Times New Roman" w:eastAsia="文鼎小标宋简"/>
      <w:kern w:val="1"/>
      <w:sz w:val="32"/>
      <w:szCs w:val="20"/>
      <w:lang w:eastAsia="ar-SA"/>
    </w:rPr>
  </w:style>
  <w:style w:type="paragraph" w:customStyle="1" w:styleId="329">
    <w:name w:val="Char1 Char Char Char1"/>
    <w:basedOn w:val="1"/>
    <w:qFormat/>
    <w:uiPriority w:val="0"/>
    <w:pPr>
      <w:spacing w:line="360" w:lineRule="auto"/>
    </w:pPr>
    <w:rPr>
      <w:rFonts w:ascii="Tahoma" w:hAnsi="Tahoma"/>
      <w:sz w:val="24"/>
      <w:szCs w:val="20"/>
    </w:rPr>
  </w:style>
  <w:style w:type="paragraph" w:customStyle="1" w:styleId="330">
    <w:name w:val="正文文本 21"/>
    <w:basedOn w:val="1"/>
    <w:qFormat/>
    <w:uiPriority w:val="0"/>
    <w:pPr>
      <w:autoSpaceDE w:val="0"/>
      <w:autoSpaceDN w:val="0"/>
      <w:adjustRightInd w:val="0"/>
      <w:spacing w:line="360" w:lineRule="atLeast"/>
      <w:ind w:right="-21" w:firstLine="560"/>
    </w:pPr>
    <w:rPr>
      <w:rFonts w:ascii="Times New Roman" w:hAnsi="Times New Roman"/>
      <w:sz w:val="28"/>
      <w:szCs w:val="20"/>
    </w:rPr>
  </w:style>
  <w:style w:type="paragraph" w:customStyle="1" w:styleId="331">
    <w:name w:val="普通 (Web)"/>
    <w:basedOn w:val="1"/>
    <w:qFormat/>
    <w:uiPriority w:val="0"/>
    <w:pPr>
      <w:widowControl/>
      <w:spacing w:before="100" w:beforeAutospacing="1" w:after="100" w:afterAutospacing="1"/>
      <w:jc w:val="left"/>
    </w:pPr>
    <w:rPr>
      <w:rFonts w:ascii="宋体" w:hAnsi="宋体" w:cs="黑体"/>
      <w:kern w:val="0"/>
      <w:sz w:val="24"/>
      <w:szCs w:val="24"/>
    </w:rPr>
  </w:style>
  <w:style w:type="paragraph" w:customStyle="1" w:styleId="332">
    <w:name w:val="普通(Web)"/>
    <w:basedOn w:val="1"/>
    <w:qFormat/>
    <w:uiPriority w:val="0"/>
    <w:rPr>
      <w:rFonts w:ascii="Times New Roman" w:hAnsi="Times New Roman"/>
      <w:sz w:val="24"/>
      <w:szCs w:val="24"/>
    </w:rPr>
  </w:style>
  <w:style w:type="paragraph" w:customStyle="1" w:styleId="333">
    <w:name w:val="正文1"/>
    <w:basedOn w:val="1"/>
    <w:qFormat/>
    <w:uiPriority w:val="0"/>
    <w:pPr>
      <w:suppressAutoHyphens/>
    </w:pPr>
    <w:rPr>
      <w:rFonts w:ascii="Times New Roman" w:hAnsi="Times New Roman"/>
      <w:kern w:val="1"/>
      <w:szCs w:val="21"/>
    </w:rPr>
  </w:style>
  <w:style w:type="paragraph" w:customStyle="1" w:styleId="334">
    <w:name w:val="文件标题"/>
    <w:basedOn w:val="1"/>
    <w:qFormat/>
    <w:uiPriority w:val="0"/>
    <w:pPr>
      <w:spacing w:line="580" w:lineRule="exact"/>
      <w:jc w:val="center"/>
    </w:pPr>
    <w:rPr>
      <w:rFonts w:ascii="Times New Roman" w:hAnsi="Times New Roman"/>
      <w:b/>
      <w:spacing w:val="20"/>
      <w:sz w:val="44"/>
      <w:szCs w:val="20"/>
    </w:rPr>
  </w:style>
  <w:style w:type="paragraph" w:customStyle="1" w:styleId="335">
    <w:name w:val="news"/>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336">
    <w:name w:val="标5，1"/>
    <w:basedOn w:val="2"/>
    <w:qFormat/>
    <w:uiPriority w:val="0"/>
    <w:pPr>
      <w:keepNext w:val="0"/>
      <w:keepLines w:val="0"/>
      <w:spacing w:before="0" w:after="0" w:line="360" w:lineRule="auto"/>
      <w:ind w:firstLine="640" w:firstLineChars="200"/>
    </w:pPr>
    <w:rPr>
      <w:rFonts w:ascii="楷体_GB2312" w:eastAsia="楷体_GB2312"/>
      <w:b/>
      <w:bCs w:val="0"/>
      <w:sz w:val="32"/>
      <w:szCs w:val="28"/>
      <w:lang w:val="zh-CN"/>
    </w:rPr>
  </w:style>
  <w:style w:type="paragraph" w:customStyle="1" w:styleId="337">
    <w:name w:val="样式 正文首行缩进 + 左侧:  0 厘米 段后: 0 磅 首行缩进:  2 字符"/>
    <w:basedOn w:val="1"/>
    <w:qFormat/>
    <w:uiPriority w:val="0"/>
    <w:pPr>
      <w:tabs>
        <w:tab w:val="left" w:pos="7380"/>
      </w:tabs>
      <w:spacing w:line="580" w:lineRule="exact"/>
      <w:ind w:firstLine="640" w:firstLineChars="200"/>
    </w:pPr>
    <w:rPr>
      <w:rFonts w:ascii="仿宋_GB2312" w:hAnsi="仿宋_GB2312" w:eastAsia="仿宋_GB2312" w:cs="宋体"/>
      <w:sz w:val="32"/>
      <w:szCs w:val="20"/>
    </w:rPr>
  </w:style>
  <w:style w:type="paragraph" w:customStyle="1" w:styleId="338">
    <w:name w:val="附件"/>
    <w:basedOn w:val="1"/>
    <w:qFormat/>
    <w:uiPriority w:val="0"/>
    <w:pPr>
      <w:ind w:left="1638" w:hanging="1016"/>
    </w:pPr>
    <w:rPr>
      <w:rFonts w:ascii="Times New Roman" w:hAnsi="Times New Roman" w:eastAsia="仿宋_GB2312"/>
      <w:sz w:val="32"/>
      <w:szCs w:val="20"/>
    </w:rPr>
  </w:style>
  <w:style w:type="paragraph" w:customStyle="1" w:styleId="339">
    <w:name w:val="WW-纯文本"/>
    <w:basedOn w:val="1"/>
    <w:qFormat/>
    <w:uiPriority w:val="0"/>
    <w:pPr>
      <w:suppressAutoHyphens/>
    </w:pPr>
    <w:rPr>
      <w:rFonts w:ascii="宋体" w:hAnsi="宋体"/>
      <w:kern w:val="1"/>
      <w:szCs w:val="21"/>
      <w:lang w:eastAsia="ar-SA"/>
    </w:rPr>
  </w:style>
  <w:style w:type="paragraph" w:customStyle="1" w:styleId="340">
    <w:name w:val="标题 11"/>
    <w:basedOn w:val="333"/>
    <w:next w:val="333"/>
    <w:qFormat/>
    <w:uiPriority w:val="0"/>
    <w:pPr>
      <w:keepNext/>
      <w:keepLines/>
      <w:tabs>
        <w:tab w:val="left" w:pos="0"/>
      </w:tabs>
      <w:spacing w:before="340" w:after="330" w:line="480" w:lineRule="auto"/>
      <w:outlineLvl w:val="0"/>
    </w:pPr>
    <w:rPr>
      <w:b/>
      <w:bCs/>
      <w:sz w:val="44"/>
      <w:szCs w:val="44"/>
    </w:rPr>
  </w:style>
  <w:style w:type="paragraph" w:customStyle="1" w:styleId="341">
    <w:name w:val="正文文本缩进1"/>
    <w:basedOn w:val="333"/>
    <w:qFormat/>
    <w:uiPriority w:val="0"/>
    <w:pPr>
      <w:spacing w:line="360" w:lineRule="auto"/>
      <w:ind w:firstLine="480"/>
    </w:pPr>
    <w:rPr>
      <w:rFonts w:eastAsia="仿宋_GB2312"/>
      <w:sz w:val="24"/>
      <w:szCs w:val="24"/>
    </w:rPr>
  </w:style>
  <w:style w:type="paragraph" w:customStyle="1" w:styleId="3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3">
    <w:name w:val="xl49"/>
    <w:basedOn w:val="1"/>
    <w:qFormat/>
    <w:uiPriority w:val="0"/>
    <w:pPr>
      <w:widowControl/>
      <w:spacing w:before="100" w:after="100"/>
      <w:jc w:val="center"/>
      <w:textAlignment w:val="center"/>
    </w:pPr>
    <w:rPr>
      <w:rFonts w:hint="eastAsia" w:ascii="黑体" w:hAnsi="宋体" w:eastAsia="黑体"/>
      <w:b/>
      <w:kern w:val="0"/>
      <w:sz w:val="32"/>
      <w:szCs w:val="20"/>
    </w:rPr>
  </w:style>
  <w:style w:type="paragraph" w:customStyle="1" w:styleId="344">
    <w:name w:val="1"/>
    <w:basedOn w:val="1"/>
    <w:next w:val="47"/>
    <w:qFormat/>
    <w:uiPriority w:val="0"/>
    <w:pPr>
      <w:spacing w:after="120" w:line="480" w:lineRule="auto"/>
    </w:pPr>
    <w:rPr>
      <w:rFonts w:ascii="Times New Roman" w:hAnsi="Times New Roman"/>
      <w:szCs w:val="24"/>
    </w:rPr>
  </w:style>
  <w:style w:type="paragraph" w:customStyle="1" w:styleId="345">
    <w:name w:val="pa-8"/>
    <w:basedOn w:val="1"/>
    <w:qFormat/>
    <w:uiPriority w:val="0"/>
    <w:pPr>
      <w:widowControl/>
      <w:spacing w:line="580" w:lineRule="atLeast"/>
      <w:ind w:firstLine="620"/>
    </w:pPr>
    <w:rPr>
      <w:rFonts w:ascii="宋体" w:hAnsi="宋体" w:cs="宋体"/>
      <w:kern w:val="0"/>
      <w:sz w:val="24"/>
      <w:szCs w:val="24"/>
    </w:rPr>
  </w:style>
  <w:style w:type="paragraph" w:customStyle="1" w:styleId="3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7">
    <w:name w:val="报告正文"/>
    <w:basedOn w:val="1"/>
    <w:qFormat/>
    <w:uiPriority w:val="0"/>
    <w:pPr>
      <w:spacing w:before="156" w:after="156" w:line="360" w:lineRule="auto"/>
      <w:ind w:firstLine="482"/>
    </w:pPr>
    <w:rPr>
      <w:rFonts w:ascii="Times New Roman" w:hAnsi="Times New Roman"/>
      <w:sz w:val="24"/>
      <w:szCs w:val="20"/>
    </w:rPr>
  </w:style>
  <w:style w:type="paragraph" w:customStyle="1" w:styleId="348">
    <w:name w:val="2"/>
    <w:basedOn w:val="1"/>
    <w:next w:val="1"/>
    <w:qFormat/>
    <w:uiPriority w:val="0"/>
    <w:rPr>
      <w:rFonts w:ascii="Times New Roman" w:hAnsi="Times New Roman"/>
      <w:sz w:val="24"/>
      <w:szCs w:val="24"/>
    </w:rPr>
  </w:style>
  <w:style w:type="paragraph" w:customStyle="1" w:styleId="349">
    <w:name w:val="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50">
    <w:name w:val="WW-普通 (Web)"/>
    <w:basedOn w:val="1"/>
    <w:qFormat/>
    <w:uiPriority w:val="0"/>
    <w:pPr>
      <w:widowControl/>
      <w:suppressAutoHyphens/>
      <w:spacing w:before="280" w:after="280"/>
      <w:jc w:val="left"/>
    </w:pPr>
    <w:rPr>
      <w:rFonts w:ascii="宋体" w:hAnsi="宋体"/>
      <w:kern w:val="1"/>
      <w:sz w:val="24"/>
      <w:szCs w:val="21"/>
    </w:rPr>
  </w:style>
  <w:style w:type="paragraph" w:customStyle="1" w:styleId="351">
    <w:name w:val="WW-正文文本缩进 2"/>
    <w:basedOn w:val="333"/>
    <w:qFormat/>
    <w:uiPriority w:val="0"/>
    <w:pPr>
      <w:spacing w:line="360" w:lineRule="auto"/>
      <w:ind w:firstLine="630"/>
    </w:pPr>
    <w:rPr>
      <w:rFonts w:ascii="仿宋_GB2312" w:hAnsi="仿宋_GB2312"/>
      <w:color w:val="0000FF"/>
      <w:sz w:val="32"/>
      <w:szCs w:val="32"/>
      <w:lang w:eastAsia="ar-SA"/>
    </w:rPr>
  </w:style>
  <w:style w:type="paragraph" w:customStyle="1" w:styleId="352">
    <w:name w:val="a01"/>
    <w:basedOn w:val="1"/>
    <w:qFormat/>
    <w:uiPriority w:val="0"/>
    <w:pPr>
      <w:widowControl/>
      <w:numPr>
        <w:ilvl w:val="1"/>
        <w:numId w:val="3"/>
      </w:numPr>
      <w:tabs>
        <w:tab w:val="clear" w:pos="1648"/>
      </w:tabs>
      <w:spacing w:before="100" w:beforeAutospacing="1" w:after="100" w:afterAutospacing="1" w:line="315" w:lineRule="atLeast"/>
      <w:ind w:left="0" w:firstLine="0"/>
      <w:jc w:val="left"/>
    </w:pPr>
    <w:rPr>
      <w:rFonts w:ascii="ˎ̥" w:hAnsi="ˎ̥"/>
      <w:color w:val="000000"/>
      <w:spacing w:val="15"/>
      <w:kern w:val="0"/>
      <w:sz w:val="18"/>
      <w:szCs w:val="18"/>
    </w:rPr>
  </w:style>
  <w:style w:type="paragraph" w:customStyle="1" w:styleId="353">
    <w:name w:val="Char Char Char Char Char Char1 Char Char Char"/>
    <w:basedOn w:val="1"/>
    <w:qFormat/>
    <w:uiPriority w:val="0"/>
    <w:pPr>
      <w:autoSpaceDE w:val="0"/>
      <w:autoSpaceDN w:val="0"/>
      <w:adjustRightInd w:val="0"/>
      <w:jc w:val="left"/>
      <w:textAlignment w:val="baseline"/>
    </w:pPr>
    <w:rPr>
      <w:rFonts w:ascii="Times New Roman" w:hAnsi="Times New Roman"/>
      <w:szCs w:val="24"/>
    </w:rPr>
  </w:style>
  <w:style w:type="paragraph" w:customStyle="1" w:styleId="354">
    <w:name w:val="pa-14"/>
    <w:basedOn w:val="1"/>
    <w:qFormat/>
    <w:uiPriority w:val="0"/>
    <w:pPr>
      <w:widowControl/>
      <w:spacing w:line="360" w:lineRule="atLeast"/>
      <w:ind w:firstLine="640"/>
      <w:jc w:val="center"/>
    </w:pPr>
    <w:rPr>
      <w:rFonts w:ascii="宋体" w:hAnsi="宋体" w:cs="宋体"/>
      <w:kern w:val="0"/>
      <w:sz w:val="24"/>
      <w:szCs w:val="24"/>
    </w:rPr>
  </w:style>
  <w:style w:type="paragraph" w:customStyle="1" w:styleId="355">
    <w:name w:val="WW-正文文字缩进 3"/>
    <w:basedOn w:val="1"/>
    <w:qFormat/>
    <w:uiPriority w:val="0"/>
    <w:pPr>
      <w:suppressAutoHyphens/>
      <w:spacing w:line="312" w:lineRule="atLeast"/>
      <w:ind w:left="-105" w:firstLine="630"/>
      <w:textAlignment w:val="baseline"/>
    </w:pPr>
    <w:rPr>
      <w:rFonts w:ascii="Times New Roman" w:hAnsi="Times New Roman" w:eastAsia="黑体"/>
      <w:kern w:val="1"/>
      <w:sz w:val="32"/>
      <w:szCs w:val="20"/>
    </w:rPr>
  </w:style>
  <w:style w:type="paragraph" w:customStyle="1" w:styleId="3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357">
    <w:name w:val="纯文本1"/>
    <w:basedOn w:val="1"/>
    <w:qFormat/>
    <w:uiPriority w:val="0"/>
    <w:pPr>
      <w:adjustRightInd w:val="0"/>
    </w:pPr>
    <w:rPr>
      <w:rFonts w:hint="eastAsia" w:ascii="宋体" w:hAnsi="Courier New"/>
      <w:szCs w:val="20"/>
    </w:rPr>
  </w:style>
  <w:style w:type="paragraph" w:customStyle="1" w:styleId="358">
    <w:name w:val="样式 左侧:  2 字符"/>
    <w:basedOn w:val="1"/>
    <w:qFormat/>
    <w:uiPriority w:val="0"/>
    <w:pPr>
      <w:tabs>
        <w:tab w:val="left" w:pos="840"/>
      </w:tabs>
      <w:spacing w:line="540" w:lineRule="exact"/>
      <w:ind w:firstLine="630"/>
    </w:pPr>
    <w:rPr>
      <w:rFonts w:ascii="Times New Roman" w:hAnsi="Times New Roman" w:eastAsia="仿宋_GB2312" w:cs="宋体"/>
      <w:sz w:val="32"/>
      <w:szCs w:val="32"/>
    </w:rPr>
  </w:style>
  <w:style w:type="paragraph" w:customStyle="1" w:styleId="359">
    <w:name w:val="pa-3"/>
    <w:basedOn w:val="1"/>
    <w:uiPriority w:val="0"/>
    <w:pPr>
      <w:widowControl/>
      <w:spacing w:line="360" w:lineRule="atLeast"/>
      <w:jc w:val="right"/>
    </w:pPr>
    <w:rPr>
      <w:rFonts w:ascii="宋体" w:hAnsi="宋体" w:cs="宋体"/>
      <w:kern w:val="0"/>
      <w:sz w:val="24"/>
      <w:szCs w:val="24"/>
    </w:rPr>
  </w:style>
  <w:style w:type="paragraph" w:customStyle="1" w:styleId="360">
    <w:name w:val="WW-正文文字缩进 2"/>
    <w:basedOn w:val="1"/>
    <w:qFormat/>
    <w:uiPriority w:val="0"/>
    <w:pPr>
      <w:suppressAutoHyphens/>
      <w:ind w:firstLine="640"/>
    </w:pPr>
    <w:rPr>
      <w:rFonts w:ascii="仿宋_GB2312" w:hAnsi="仿宋_GB2312" w:eastAsia="仿宋_GB2312"/>
      <w:kern w:val="0"/>
      <w:sz w:val="32"/>
      <w:szCs w:val="28"/>
    </w:rPr>
  </w:style>
  <w:style w:type="paragraph" w:customStyle="1" w:styleId="361">
    <w:name w:val="Char Char Char1 Char Char Char Char"/>
    <w:basedOn w:val="1"/>
    <w:qFormat/>
    <w:uiPriority w:val="0"/>
    <w:rPr>
      <w:rFonts w:ascii="Times New Roman" w:hAnsi="Times New Roman"/>
      <w:szCs w:val="24"/>
    </w:rPr>
  </w:style>
  <w:style w:type="paragraph" w:customStyle="1" w:styleId="362">
    <w:name w:val="标题 31"/>
    <w:basedOn w:val="333"/>
    <w:next w:val="363"/>
    <w:qFormat/>
    <w:uiPriority w:val="0"/>
    <w:pPr>
      <w:keepNext/>
      <w:keepLines/>
      <w:tabs>
        <w:tab w:val="left" w:pos="0"/>
      </w:tabs>
      <w:spacing w:before="1620" w:after="400"/>
      <w:jc w:val="center"/>
      <w:outlineLvl w:val="2"/>
    </w:pPr>
    <w:rPr>
      <w:rFonts w:eastAsia="公文小标宋简"/>
      <w:sz w:val="44"/>
      <w:szCs w:val="44"/>
    </w:rPr>
  </w:style>
  <w:style w:type="paragraph" w:customStyle="1" w:styleId="363">
    <w:name w:val="正文缩进1"/>
    <w:basedOn w:val="333"/>
    <w:qFormat/>
    <w:uiPriority w:val="0"/>
    <w:pPr>
      <w:ind w:firstLine="630"/>
    </w:pPr>
    <w:rPr>
      <w:rFonts w:eastAsia="仿宋_GB2312"/>
      <w:sz w:val="32"/>
      <w:szCs w:val="32"/>
    </w:rPr>
  </w:style>
  <w:style w:type="paragraph" w:customStyle="1" w:styleId="364">
    <w:name w:val="样式姜文清通用"/>
    <w:next w:val="1"/>
    <w:qFormat/>
    <w:uiPriority w:val="0"/>
    <w:pPr>
      <w:widowControl w:val="0"/>
      <w:snapToGrid w:val="0"/>
      <w:spacing w:line="580" w:lineRule="exact"/>
      <w:ind w:firstLine="640" w:firstLineChars="200"/>
      <w:jc w:val="both"/>
    </w:pPr>
    <w:rPr>
      <w:rFonts w:ascii="仿宋_GB2312" w:hAnsi="宋体" w:eastAsia="仿宋_GB2312" w:cs="Tahoma"/>
      <w:color w:val="000000"/>
      <w:kern w:val="2"/>
      <w:sz w:val="32"/>
      <w:szCs w:val="32"/>
      <w:lang w:val="en-US" w:eastAsia="zh-CN" w:bidi="ar-SA"/>
    </w:rPr>
  </w:style>
  <w:style w:type="paragraph" w:customStyle="1" w:styleId="365">
    <w:name w:val="标题 41"/>
    <w:basedOn w:val="333"/>
    <w:next w:val="363"/>
    <w:qFormat/>
    <w:uiPriority w:val="0"/>
    <w:pPr>
      <w:keepNext/>
      <w:tabs>
        <w:tab w:val="left" w:pos="0"/>
        <w:tab w:val="left" w:pos="2488"/>
        <w:tab w:val="left" w:pos="4976"/>
      </w:tabs>
      <w:jc w:val="center"/>
      <w:outlineLvl w:val="3"/>
    </w:pPr>
    <w:rPr>
      <w:rFonts w:eastAsia="仿宋_GB2312"/>
      <w:sz w:val="44"/>
      <w:szCs w:val="44"/>
    </w:rPr>
  </w:style>
  <w:style w:type="paragraph" w:customStyle="1" w:styleId="366">
    <w:name w:val="pa-7"/>
    <w:basedOn w:val="1"/>
    <w:qFormat/>
    <w:uiPriority w:val="0"/>
    <w:pPr>
      <w:widowControl/>
      <w:spacing w:line="580" w:lineRule="atLeast"/>
      <w:ind w:firstLine="640"/>
    </w:pPr>
    <w:rPr>
      <w:rFonts w:ascii="宋体" w:hAnsi="宋体" w:cs="宋体"/>
      <w:kern w:val="0"/>
      <w:sz w:val="24"/>
      <w:szCs w:val="24"/>
    </w:rPr>
  </w:style>
  <w:style w:type="paragraph" w:customStyle="1" w:styleId="367">
    <w:name w:val="普通(网站)1"/>
    <w:basedOn w:val="333"/>
    <w:qFormat/>
    <w:uiPriority w:val="0"/>
    <w:pPr>
      <w:spacing w:before="100" w:after="100"/>
      <w:jc w:val="left"/>
    </w:pPr>
    <w:rPr>
      <w:rFonts w:ascii="Arial Unicode MS" w:hAnsi="Arial Unicode MS" w:eastAsia="Arial Unicode MS"/>
      <w:color w:val="000000"/>
      <w:sz w:val="24"/>
      <w:szCs w:val="24"/>
    </w:rPr>
  </w:style>
  <w:style w:type="paragraph" w:customStyle="1" w:styleId="368">
    <w:name w:val="pa-6"/>
    <w:basedOn w:val="1"/>
    <w:qFormat/>
    <w:uiPriority w:val="0"/>
    <w:pPr>
      <w:widowControl/>
      <w:spacing w:line="580" w:lineRule="atLeast"/>
    </w:pPr>
    <w:rPr>
      <w:rFonts w:ascii="宋体" w:hAnsi="宋体" w:cs="宋体"/>
      <w:kern w:val="0"/>
      <w:sz w:val="24"/>
      <w:szCs w:val="24"/>
    </w:rPr>
  </w:style>
  <w:style w:type="paragraph" w:customStyle="1" w:styleId="369">
    <w:name w:val="WW-日期"/>
    <w:basedOn w:val="1"/>
    <w:next w:val="1"/>
    <w:qFormat/>
    <w:uiPriority w:val="0"/>
    <w:pPr>
      <w:widowControl/>
      <w:suppressAutoHyphens/>
      <w:jc w:val="left"/>
    </w:pPr>
    <w:rPr>
      <w:rFonts w:ascii="仿宋_GB2312" w:hAnsi="仿宋_GB2312" w:eastAsia="仿宋_GB2312"/>
      <w:kern w:val="1"/>
      <w:sz w:val="32"/>
      <w:szCs w:val="20"/>
      <w:lang w:eastAsia="ar-SA"/>
    </w:rPr>
  </w:style>
  <w:style w:type="paragraph" w:customStyle="1" w:styleId="370">
    <w:name w:val="WW-普通文字"/>
    <w:basedOn w:val="1"/>
    <w:qFormat/>
    <w:uiPriority w:val="0"/>
    <w:pPr>
      <w:suppressAutoHyphens/>
    </w:pPr>
    <w:rPr>
      <w:rFonts w:ascii="宋体" w:hAnsi="宋体" w:cs="Courier New"/>
      <w:kern w:val="1"/>
      <w:szCs w:val="21"/>
      <w:lang w:eastAsia="ar-SA"/>
    </w:rPr>
  </w:style>
  <w:style w:type="paragraph" w:customStyle="1" w:styleId="371">
    <w:name w:val="WW-文字块"/>
    <w:basedOn w:val="1"/>
    <w:qFormat/>
    <w:uiPriority w:val="0"/>
    <w:pPr>
      <w:suppressAutoHyphens/>
      <w:spacing w:line="500" w:lineRule="atLeast"/>
      <w:ind w:left="400" w:right="170"/>
    </w:pPr>
    <w:rPr>
      <w:rFonts w:ascii="仿宋_GB2312" w:hAnsi="仿宋_GB2312" w:eastAsia="仿宋_GB2312"/>
      <w:kern w:val="1"/>
      <w:sz w:val="32"/>
      <w:szCs w:val="32"/>
      <w:lang w:eastAsia="ar-SA"/>
    </w:rPr>
  </w:style>
  <w:style w:type="paragraph" w:customStyle="1" w:styleId="372">
    <w:name w:val="Default"/>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paragraph" w:customStyle="1" w:styleId="373">
    <w:name w:val="WW-正文文本 3"/>
    <w:basedOn w:val="1"/>
    <w:qFormat/>
    <w:uiPriority w:val="0"/>
    <w:pPr>
      <w:suppressAutoHyphens/>
      <w:spacing w:after="120"/>
    </w:pPr>
    <w:rPr>
      <w:rFonts w:ascii="Times New Roman" w:hAnsi="Times New Roman" w:eastAsia="仿宋_GB2312"/>
      <w:kern w:val="0"/>
      <w:sz w:val="16"/>
      <w:szCs w:val="16"/>
    </w:rPr>
  </w:style>
  <w:style w:type="paragraph" w:customStyle="1" w:styleId="374">
    <w:name w:val="WW-正文文本 2"/>
    <w:basedOn w:val="333"/>
    <w:qFormat/>
    <w:uiPriority w:val="0"/>
    <w:pPr>
      <w:spacing w:line="360" w:lineRule="auto"/>
    </w:pPr>
    <w:rPr>
      <w:rFonts w:ascii="仿宋_GB2312" w:hAnsi="仿宋_GB2312" w:eastAsia="仿宋_GB2312"/>
      <w:sz w:val="32"/>
      <w:szCs w:val="32"/>
      <w:lang w:eastAsia="ar-SA"/>
    </w:rPr>
  </w:style>
  <w:style w:type="paragraph" w:customStyle="1" w:styleId="375">
    <w:name w:val="pa-4"/>
    <w:basedOn w:val="1"/>
    <w:qFormat/>
    <w:uiPriority w:val="0"/>
    <w:pPr>
      <w:widowControl/>
      <w:spacing w:line="360" w:lineRule="atLeast"/>
    </w:pPr>
    <w:rPr>
      <w:rFonts w:ascii="宋体" w:hAnsi="宋体" w:cs="宋体"/>
      <w:kern w:val="0"/>
      <w:sz w:val="24"/>
      <w:szCs w:val="24"/>
    </w:rPr>
  </w:style>
  <w:style w:type="paragraph" w:customStyle="1" w:styleId="376">
    <w:name w:val="WW-正文文字 2"/>
    <w:basedOn w:val="1"/>
    <w:qFormat/>
    <w:uiPriority w:val="0"/>
    <w:pPr>
      <w:widowControl/>
      <w:suppressAutoHyphens/>
      <w:spacing w:line="560" w:lineRule="atLeast"/>
      <w:jc w:val="center"/>
    </w:pPr>
    <w:rPr>
      <w:rFonts w:ascii="黑体" w:hAnsi="黑体" w:eastAsia="黑体"/>
      <w:color w:val="000000"/>
      <w:kern w:val="1"/>
      <w:sz w:val="44"/>
      <w:szCs w:val="44"/>
    </w:rPr>
  </w:style>
  <w:style w:type="paragraph" w:customStyle="1" w:styleId="377">
    <w:name w:val="WW-普通(网站)"/>
    <w:basedOn w:val="1"/>
    <w:qFormat/>
    <w:uiPriority w:val="0"/>
    <w:pPr>
      <w:widowControl/>
      <w:suppressAutoHyphens/>
      <w:spacing w:before="280" w:line="360" w:lineRule="auto"/>
      <w:jc w:val="center"/>
    </w:pPr>
    <w:rPr>
      <w:rFonts w:ascii="宋体" w:hAnsi="宋体" w:cs="宋体"/>
      <w:kern w:val="1"/>
      <w:sz w:val="24"/>
      <w:szCs w:val="24"/>
      <w:lang w:eastAsia="ar-SA"/>
    </w:rPr>
  </w:style>
  <w:style w:type="paragraph" w:customStyle="1" w:styleId="378">
    <w:name w:val="cjk"/>
    <w:basedOn w:val="1"/>
    <w:qFormat/>
    <w:uiPriority w:val="0"/>
    <w:pPr>
      <w:widowControl/>
      <w:suppressAutoHyphens/>
      <w:spacing w:before="280" w:line="360" w:lineRule="auto"/>
      <w:jc w:val="center"/>
    </w:pPr>
    <w:rPr>
      <w:rFonts w:ascii="宋体" w:hAnsi="宋体" w:cs="宋体"/>
      <w:kern w:val="1"/>
      <w:sz w:val="44"/>
      <w:szCs w:val="44"/>
      <w:lang w:eastAsia="ar-SA"/>
    </w:rPr>
  </w:style>
  <w:style w:type="paragraph" w:customStyle="1" w:styleId="37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0">
    <w:name w:val="Char Char Char"/>
    <w:basedOn w:val="1"/>
    <w:qFormat/>
    <w:uiPriority w:val="0"/>
    <w:rPr>
      <w:rFonts w:ascii="Times New Roman" w:hAnsi="Times New Roman"/>
      <w:szCs w:val="24"/>
    </w:rPr>
  </w:style>
  <w:style w:type="paragraph" w:customStyle="1" w:styleId="381">
    <w:name w:val="Char Char Char Char Char Char1"/>
    <w:basedOn w:val="1"/>
    <w:qFormat/>
    <w:uiPriority w:val="0"/>
    <w:rPr>
      <w:rFonts w:ascii="Tahoma" w:hAnsi="Tahoma"/>
      <w:sz w:val="24"/>
      <w:szCs w:val="20"/>
    </w:rPr>
  </w:style>
  <w:style w:type="paragraph" w:customStyle="1" w:styleId="382">
    <w:name w:val="样式 ˎ̥ 段后: 7.8 磅 行距: 固定值 20 磅"/>
    <w:basedOn w:val="1"/>
    <w:uiPriority w:val="0"/>
    <w:pPr>
      <w:tabs>
        <w:tab w:val="left" w:pos="4140"/>
      </w:tabs>
    </w:pPr>
    <w:rPr>
      <w:rFonts w:ascii="仿宋_GB2312" w:hAnsi="ˎ̥" w:eastAsia="仿宋_GB2312" w:cs="宋体"/>
      <w:sz w:val="32"/>
      <w:szCs w:val="32"/>
    </w:rPr>
  </w:style>
  <w:style w:type="paragraph" w:customStyle="1" w:styleId="383">
    <w:name w:val="unnamed1"/>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84">
    <w:name w:val="pa-1"/>
    <w:basedOn w:val="1"/>
    <w:qFormat/>
    <w:uiPriority w:val="0"/>
    <w:pPr>
      <w:widowControl/>
      <w:spacing w:line="580" w:lineRule="atLeast"/>
      <w:jc w:val="center"/>
    </w:pPr>
    <w:rPr>
      <w:rFonts w:ascii="宋体" w:hAnsi="宋体" w:cs="宋体"/>
      <w:kern w:val="0"/>
      <w:sz w:val="24"/>
      <w:szCs w:val="24"/>
    </w:rPr>
  </w:style>
  <w:style w:type="paragraph" w:customStyle="1" w:styleId="385">
    <w:name w:val="报告表名"/>
    <w:basedOn w:val="1"/>
    <w:qFormat/>
    <w:uiPriority w:val="0"/>
    <w:pPr>
      <w:adjustRightInd w:val="0"/>
      <w:spacing w:before="360" w:after="60" w:line="360" w:lineRule="auto"/>
      <w:jc w:val="center"/>
      <w:textAlignment w:val="baseline"/>
    </w:pPr>
    <w:rPr>
      <w:rFonts w:ascii="Times New Roman" w:hAnsi="Times New Roman"/>
      <w:b/>
      <w:bCs/>
      <w:kern w:val="0"/>
      <w:sz w:val="24"/>
      <w:szCs w:val="20"/>
    </w:rPr>
  </w:style>
  <w:style w:type="paragraph" w:customStyle="1" w:styleId="386">
    <w:name w:val="WW-正文文字缩进 21"/>
    <w:basedOn w:val="1"/>
    <w:qFormat/>
    <w:uiPriority w:val="0"/>
    <w:pPr>
      <w:suppressAutoHyphens/>
      <w:ind w:firstLine="640"/>
    </w:pPr>
    <w:rPr>
      <w:rFonts w:ascii="仿宋_GB2312" w:hAnsi="仿宋_GB2312" w:eastAsia="仿宋_GB2312"/>
      <w:color w:val="000000"/>
      <w:kern w:val="0"/>
      <w:sz w:val="32"/>
      <w:szCs w:val="21"/>
    </w:rPr>
  </w:style>
  <w:style w:type="paragraph" w:customStyle="1" w:styleId="387">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388">
    <w:name w:val="pa-2"/>
    <w:basedOn w:val="1"/>
    <w:qFormat/>
    <w:uiPriority w:val="0"/>
    <w:pPr>
      <w:widowControl/>
      <w:spacing w:line="240" w:lineRule="atLeast"/>
    </w:pPr>
    <w:rPr>
      <w:rFonts w:ascii="宋体" w:hAnsi="宋体" w:cs="宋体"/>
      <w:kern w:val="0"/>
      <w:sz w:val="24"/>
      <w:szCs w:val="24"/>
    </w:rPr>
  </w:style>
  <w:style w:type="paragraph" w:customStyle="1" w:styleId="389">
    <w:name w:val="机关字号"/>
    <w:basedOn w:val="1"/>
    <w:uiPriority w:val="0"/>
    <w:pPr>
      <w:spacing w:line="580" w:lineRule="exact"/>
      <w:jc w:val="left"/>
    </w:pPr>
    <w:rPr>
      <w:rFonts w:ascii="Times New Roman" w:hAnsi="Times New Roman" w:eastAsia="仿宋_GB2312"/>
      <w:sz w:val="32"/>
      <w:szCs w:val="20"/>
    </w:rPr>
  </w:style>
  <w:style w:type="paragraph" w:customStyle="1" w:styleId="390">
    <w:name w:val="表格正文"/>
    <w:basedOn w:val="1"/>
    <w:uiPriority w:val="0"/>
    <w:pPr>
      <w:keepNext/>
      <w:spacing w:line="240" w:lineRule="exact"/>
      <w:textAlignment w:val="baseline"/>
    </w:pPr>
    <w:rPr>
      <w:rFonts w:ascii="Arial" w:hAnsi="Arial"/>
      <w:kern w:val="0"/>
      <w:szCs w:val="20"/>
    </w:rPr>
  </w:style>
  <w:style w:type="paragraph" w:customStyle="1" w:styleId="391">
    <w:name w:val="xl71"/>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4"/>
      <w:szCs w:val="24"/>
    </w:rPr>
  </w:style>
  <w:style w:type="paragraph" w:customStyle="1" w:styleId="392">
    <w:name w:val="发文字号"/>
    <w:basedOn w:val="1"/>
    <w:qFormat/>
    <w:uiPriority w:val="0"/>
    <w:pPr>
      <w:jc w:val="left"/>
    </w:pPr>
    <w:rPr>
      <w:rFonts w:ascii="Times New Roman" w:hAnsi="Times New Roman" w:eastAsia="仿宋_GB2312"/>
      <w:sz w:val="32"/>
      <w:szCs w:val="20"/>
    </w:rPr>
  </w:style>
  <w:style w:type="paragraph" w:customStyle="1" w:styleId="393">
    <w:name w:val="Char Char Char1 Char"/>
    <w:basedOn w:val="1"/>
    <w:uiPriority w:val="0"/>
    <w:rPr>
      <w:rFonts w:ascii="Times New Roman" w:hAnsi="Times New Roman"/>
      <w:szCs w:val="24"/>
    </w:rPr>
  </w:style>
  <w:style w:type="paragraph" w:customStyle="1" w:styleId="394">
    <w:name w:val="样式 标题 2 + 仿宋_GB2312 非加粗 段前: 0 磅 段后: 0 磅 行距: 1.5 倍行距1"/>
    <w:basedOn w:val="3"/>
    <w:next w:val="3"/>
    <w:uiPriority w:val="0"/>
    <w:pPr>
      <w:keepNext w:val="0"/>
      <w:keepLines w:val="0"/>
      <w:spacing w:before="0" w:after="0" w:line="580" w:lineRule="exact"/>
      <w:ind w:firstLine="640" w:firstLineChars="200"/>
    </w:pPr>
    <w:rPr>
      <w:rFonts w:ascii="仿宋_GB2312" w:eastAsia="仿宋_GB2312" w:cs="宋体"/>
      <w:b w:val="0"/>
      <w:bCs w:val="0"/>
      <w:szCs w:val="20"/>
    </w:rPr>
  </w:style>
  <w:style w:type="paragraph" w:customStyle="1" w:styleId="395">
    <w:name w:val="默认段落字体 Para Char Char Char Char Char Char Char"/>
    <w:basedOn w:val="1"/>
    <w:qFormat/>
    <w:uiPriority w:val="0"/>
    <w:rPr>
      <w:rFonts w:ascii="Arial" w:hAnsi="Arial" w:cs="Arial"/>
      <w:sz w:val="20"/>
      <w:szCs w:val="20"/>
    </w:rPr>
  </w:style>
  <w:style w:type="paragraph" w:customStyle="1" w:styleId="396">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97">
    <w:name w:val="Char Char2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98">
    <w:name w:val="Char Char1 Char Char Char Char Char1 Char Char Char Char"/>
    <w:basedOn w:val="15"/>
    <w:qFormat/>
    <w:uiPriority w:val="0"/>
    <w:pPr>
      <w:suppressAutoHyphens w:val="0"/>
    </w:pPr>
    <w:rPr>
      <w:rFonts w:ascii="Tahoma" w:hAnsi="Tahoma"/>
      <w:kern w:val="2"/>
      <w:lang w:eastAsia="zh-CN"/>
    </w:rPr>
  </w:style>
  <w:style w:type="paragraph" w:customStyle="1" w:styleId="399">
    <w:name w:val="pa-0"/>
    <w:basedOn w:val="1"/>
    <w:qFormat/>
    <w:uiPriority w:val="0"/>
    <w:pPr>
      <w:widowControl/>
      <w:spacing w:line="480" w:lineRule="atLeast"/>
      <w:jc w:val="center"/>
    </w:pPr>
    <w:rPr>
      <w:rFonts w:ascii="宋体" w:hAnsi="宋体" w:cs="宋体"/>
      <w:kern w:val="0"/>
      <w:sz w:val="24"/>
      <w:szCs w:val="24"/>
    </w:rPr>
  </w:style>
  <w:style w:type="paragraph" w:customStyle="1" w:styleId="400">
    <w:name w:val="pa-5"/>
    <w:basedOn w:val="1"/>
    <w:qFormat/>
    <w:uiPriority w:val="0"/>
    <w:pPr>
      <w:widowControl/>
      <w:spacing w:line="360" w:lineRule="atLeast"/>
      <w:ind w:firstLine="640"/>
    </w:pPr>
    <w:rPr>
      <w:rFonts w:ascii="宋体" w:hAnsi="宋体" w:cs="宋体"/>
      <w:kern w:val="0"/>
      <w:sz w:val="24"/>
      <w:szCs w:val="24"/>
    </w:rPr>
  </w:style>
  <w:style w:type="paragraph" w:customStyle="1" w:styleId="401">
    <w:name w:val="政府文档"/>
    <w:basedOn w:val="1"/>
    <w:qFormat/>
    <w:uiPriority w:val="0"/>
    <w:pPr>
      <w:spacing w:line="560" w:lineRule="atLeast"/>
      <w:ind w:firstLine="630" w:firstLineChars="196"/>
    </w:pPr>
    <w:rPr>
      <w:rFonts w:ascii="仿宋_GB2312" w:hAnsi="宋体" w:eastAsia="仿宋_GB2312"/>
      <w:bCs/>
      <w:color w:val="000000"/>
      <w:sz w:val="32"/>
      <w:szCs w:val="32"/>
    </w:rPr>
  </w:style>
  <w:style w:type="paragraph" w:customStyle="1" w:styleId="402">
    <w:name w:val="Char Char Char2"/>
    <w:basedOn w:val="1"/>
    <w:uiPriority w:val="0"/>
    <w:rPr>
      <w:rFonts w:ascii="Times New Roman" w:hAnsi="Times New Roman"/>
      <w:szCs w:val="24"/>
    </w:rPr>
  </w:style>
  <w:style w:type="paragraph" w:customStyle="1" w:styleId="403">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404">
    <w:name w:val="标准书眉_偶数页"/>
    <w:basedOn w:val="1"/>
    <w:next w:val="1"/>
    <w:uiPriority w:val="0"/>
    <w:pPr>
      <w:widowControl/>
      <w:tabs>
        <w:tab w:val="center" w:pos="4154"/>
        <w:tab w:val="right" w:pos="8306"/>
      </w:tabs>
      <w:spacing w:after="120"/>
      <w:jc w:val="left"/>
    </w:pPr>
    <w:rPr>
      <w:rFonts w:ascii="Times New Roman" w:hAnsi="Times New Roman"/>
      <w:kern w:val="0"/>
      <w:szCs w:val="20"/>
    </w:rPr>
  </w:style>
  <w:style w:type="paragraph" w:customStyle="1" w:styleId="405">
    <w:name w:val="一级条标题"/>
    <w:next w:val="310"/>
    <w:uiPriority w:val="0"/>
    <w:pPr>
      <w:ind w:left="2340"/>
      <w:outlineLvl w:val="2"/>
    </w:pPr>
    <w:rPr>
      <w:rFonts w:ascii="Calibri" w:hAnsi="Calibri" w:eastAsia="黑体" w:cs="Times New Roman"/>
      <w:sz w:val="21"/>
      <w:lang w:val="en-US" w:eastAsia="zh-CN" w:bidi="ar-SA"/>
    </w:rPr>
  </w:style>
  <w:style w:type="paragraph" w:customStyle="1" w:styleId="406">
    <w:name w:val="二级条标题"/>
    <w:basedOn w:val="405"/>
    <w:next w:val="310"/>
    <w:qFormat/>
    <w:uiPriority w:val="0"/>
    <w:pPr>
      <w:ind w:left="284"/>
      <w:outlineLvl w:val="3"/>
    </w:pPr>
  </w:style>
  <w:style w:type="paragraph" w:customStyle="1" w:styleId="407">
    <w:name w:val="List Paragraph1"/>
    <w:basedOn w:val="1"/>
    <w:qFormat/>
    <w:uiPriority w:val="0"/>
    <w:pPr>
      <w:ind w:firstLine="420" w:firstLineChars="200"/>
    </w:pPr>
    <w:rPr>
      <w:rFonts w:ascii="Times New Roman" w:hAnsi="Times New Roman"/>
      <w:szCs w:val="21"/>
    </w:rPr>
  </w:style>
  <w:style w:type="paragraph" w:customStyle="1" w:styleId="408">
    <w:name w:val="列出段落1"/>
    <w:basedOn w:val="1"/>
    <w:qFormat/>
    <w:uiPriority w:val="0"/>
    <w:pPr>
      <w:ind w:firstLine="420" w:firstLineChars="200"/>
    </w:pPr>
    <w:rPr>
      <w:rFonts w:ascii="Times New Roman" w:hAnsi="Times New Roman"/>
      <w:szCs w:val="21"/>
    </w:rPr>
  </w:style>
  <w:style w:type="paragraph" w:customStyle="1" w:styleId="409">
    <w:name w:val="Char Char Char1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WW-正文文字 3"/>
    <w:basedOn w:val="1"/>
    <w:qFormat/>
    <w:uiPriority w:val="0"/>
    <w:pPr>
      <w:suppressAutoHyphens/>
      <w:snapToGrid w:val="0"/>
      <w:spacing w:line="360" w:lineRule="auto"/>
    </w:pPr>
    <w:rPr>
      <w:rFonts w:ascii="仿宋_GB2312" w:hAnsi="仿宋_GB2312" w:eastAsia="仿宋_GB2312"/>
      <w:kern w:val="0"/>
      <w:sz w:val="24"/>
      <w:szCs w:val="28"/>
    </w:rPr>
  </w:style>
  <w:style w:type="paragraph" w:customStyle="1" w:styleId="411">
    <w:name w:val="抄送"/>
    <w:basedOn w:val="328"/>
    <w:qFormat/>
    <w:uiPriority w:val="0"/>
    <w:pPr>
      <w:framePr w:wrap="notBeside" w:vAnchor="margin" w:hAnchor="margin" w:yAlign="bottom"/>
      <w:suppressAutoHyphens w:val="0"/>
      <w:ind w:left="0" w:firstLine="0"/>
    </w:pPr>
    <w:rPr>
      <w:rFonts w:eastAsia="仿宋_GB2312"/>
      <w:kern w:val="2"/>
      <w:lang w:eastAsia="zh-CN"/>
    </w:rPr>
  </w:style>
  <w:style w:type="paragraph" w:customStyle="1" w:styleId="412">
    <w:name w:val="Char Char4 Char Char Char Char Char Char Char Char"/>
    <w:basedOn w:val="15"/>
    <w:uiPriority w:val="0"/>
    <w:pPr>
      <w:suppressAutoHyphens w:val="0"/>
      <w:adjustRightInd w:val="0"/>
      <w:spacing w:line="436" w:lineRule="exact"/>
      <w:ind w:left="357"/>
      <w:jc w:val="left"/>
      <w:outlineLvl w:val="3"/>
    </w:pPr>
    <w:rPr>
      <w:rFonts w:ascii="Tahoma" w:hAnsi="Tahoma"/>
      <w:b/>
      <w:kern w:val="2"/>
      <w:sz w:val="24"/>
      <w:lang w:eastAsia="zh-CN"/>
    </w:rPr>
  </w:style>
  <w:style w:type="paragraph" w:customStyle="1" w:styleId="413">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14">
    <w:name w:val="五级条标题"/>
    <w:basedOn w:val="1"/>
    <w:next w:val="1"/>
    <w:qFormat/>
    <w:uiPriority w:val="0"/>
    <w:pPr>
      <w:widowControl/>
      <w:jc w:val="left"/>
      <w:outlineLvl w:val="6"/>
    </w:pPr>
    <w:rPr>
      <w:rFonts w:ascii="宋体" w:hAnsi="宋体"/>
      <w:kern w:val="0"/>
      <w:szCs w:val="21"/>
    </w:rPr>
  </w:style>
  <w:style w:type="paragraph" w:customStyle="1" w:styleId="415">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6">
    <w:name w:val="contentarticle"/>
    <w:basedOn w:val="1"/>
    <w:qFormat/>
    <w:uiPriority w:val="0"/>
    <w:pPr>
      <w:widowControl/>
      <w:spacing w:before="100" w:beforeAutospacing="1" w:after="100" w:afterAutospacing="1"/>
      <w:jc w:val="left"/>
    </w:pPr>
    <w:rPr>
      <w:rFonts w:ascii="宋体" w:hAnsi="宋体"/>
      <w:kern w:val="0"/>
      <w:sz w:val="26"/>
      <w:szCs w:val="26"/>
    </w:rPr>
  </w:style>
  <w:style w:type="paragraph" w:customStyle="1" w:styleId="417">
    <w:name w:val="p18"/>
    <w:basedOn w:val="1"/>
    <w:uiPriority w:val="0"/>
    <w:pPr>
      <w:widowControl/>
    </w:pPr>
    <w:rPr>
      <w:rFonts w:ascii="Times New Roman" w:hAnsi="Times New Roman"/>
      <w:kern w:val="0"/>
      <w:sz w:val="24"/>
      <w:szCs w:val="21"/>
    </w:rPr>
  </w:style>
  <w:style w:type="paragraph" w:customStyle="1" w:styleId="418">
    <w:name w:val="Char Char Char Char Char Char Char Char Char Char1"/>
    <w:basedOn w:val="1"/>
    <w:uiPriority w:val="0"/>
    <w:pPr>
      <w:jc w:val="left"/>
    </w:pPr>
    <w:rPr>
      <w:rFonts w:ascii="Tahoma" w:hAnsi="Tahoma"/>
      <w:sz w:val="24"/>
      <w:szCs w:val="20"/>
    </w:rPr>
  </w:style>
  <w:style w:type="paragraph" w:customStyle="1" w:styleId="419">
    <w:name w:val="p0"/>
    <w:basedOn w:val="1"/>
    <w:qFormat/>
    <w:uiPriority w:val="0"/>
    <w:pPr>
      <w:widowControl/>
    </w:pPr>
    <w:rPr>
      <w:rFonts w:ascii="Times New Roman" w:hAnsi="Times New Roman"/>
      <w:kern w:val="0"/>
      <w:sz w:val="24"/>
      <w:szCs w:val="21"/>
    </w:rPr>
  </w:style>
  <w:style w:type="paragraph" w:customStyle="1" w:styleId="420">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421">
    <w:name w:val="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成本核算表"/>
    <w:next w:val="1"/>
    <w:qFormat/>
    <w:uiPriority w:val="0"/>
    <w:rPr>
      <w:rFonts w:ascii="Calibri" w:hAnsi="Calibri" w:eastAsia="仿宋_GB2312" w:cs="宋体"/>
      <w:kern w:val="2"/>
      <w:sz w:val="21"/>
      <w:lang w:val="en-US" w:eastAsia="zh-CN" w:bidi="ar-SA"/>
    </w:rPr>
  </w:style>
  <w:style w:type="paragraph" w:customStyle="1" w:styleId="423">
    <w:name w:val="style2"/>
    <w:basedOn w:val="1"/>
    <w:uiPriority w:val="0"/>
    <w:pPr>
      <w:widowControl/>
      <w:spacing w:before="100" w:beforeAutospacing="1" w:after="100" w:afterAutospacing="1" w:line="270" w:lineRule="atLeast"/>
      <w:ind w:left="150"/>
      <w:jc w:val="left"/>
    </w:pPr>
    <w:rPr>
      <w:rFonts w:ascii="宋体" w:hAnsi="宋体" w:cs="宋体"/>
      <w:color w:val="878787"/>
      <w:kern w:val="0"/>
      <w:sz w:val="24"/>
      <w:szCs w:val="24"/>
    </w:rPr>
  </w:style>
  <w:style w:type="paragraph" w:customStyle="1" w:styleId="42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5">
    <w:name w:val="默认段落字体 Para Char Char Char Char"/>
    <w:basedOn w:val="1"/>
    <w:qFormat/>
    <w:uiPriority w:val="0"/>
    <w:rPr>
      <w:rFonts w:ascii="Times New Roman" w:hAnsi="Times New Roman"/>
      <w:szCs w:val="20"/>
    </w:rPr>
  </w:style>
  <w:style w:type="paragraph" w:customStyle="1" w:styleId="426">
    <w:name w:val="样式 仿宋_GB2312 三号"/>
    <w:basedOn w:val="1"/>
    <w:uiPriority w:val="0"/>
    <w:pPr>
      <w:spacing w:line="579" w:lineRule="exact"/>
      <w:ind w:firstLine="624" w:firstLineChars="200"/>
    </w:pPr>
    <w:rPr>
      <w:rFonts w:ascii="仿宋_GB2312" w:hAnsi="宋体" w:eastAsia="仿宋_GB2312" w:cs="宋体"/>
      <w:bCs/>
      <w:spacing w:val="-4"/>
      <w:sz w:val="32"/>
      <w:szCs w:val="32"/>
    </w:rPr>
  </w:style>
  <w:style w:type="paragraph" w:customStyle="1" w:styleId="427">
    <w:name w:val="Char Char Char Char Char Char1 Char"/>
    <w:basedOn w:val="15"/>
    <w:uiPriority w:val="0"/>
    <w:pPr>
      <w:suppressAutoHyphens w:val="0"/>
      <w:adjustRightInd w:val="0"/>
      <w:spacing w:line="436" w:lineRule="exact"/>
      <w:ind w:left="357"/>
      <w:jc w:val="left"/>
      <w:outlineLvl w:val="3"/>
    </w:pPr>
    <w:rPr>
      <w:kern w:val="2"/>
      <w:lang w:eastAsia="zh-CN"/>
    </w:rPr>
  </w:style>
  <w:style w:type="paragraph" w:customStyle="1" w:styleId="428">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Char Char Char1"/>
    <w:basedOn w:val="1"/>
    <w:qFormat/>
    <w:uiPriority w:val="0"/>
    <w:rPr>
      <w:rFonts w:ascii="Times New Roman" w:hAnsi="Times New Roman"/>
      <w:szCs w:val="24"/>
    </w:rPr>
  </w:style>
  <w:style w:type="paragraph" w:customStyle="1" w:styleId="431">
    <w:name w:val="xl112"/>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32">
    <w:name w:val="Char Char Char11"/>
    <w:basedOn w:val="1"/>
    <w:qFormat/>
    <w:uiPriority w:val="0"/>
    <w:rPr>
      <w:rFonts w:ascii="Times New Roman" w:hAnsi="Times New Roman"/>
      <w:szCs w:val="24"/>
    </w:rPr>
  </w:style>
  <w:style w:type="paragraph" w:customStyle="1" w:styleId="433">
    <w:name w:val="xl156"/>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434">
    <w:name w:val="样式 样式 规划正文1 + 首行缩进:  2 字符 + 自动设置"/>
    <w:basedOn w:val="1"/>
    <w:qFormat/>
    <w:uiPriority w:val="0"/>
    <w:pPr>
      <w:adjustRightInd w:val="0"/>
      <w:snapToGrid w:val="0"/>
      <w:spacing w:line="360" w:lineRule="auto"/>
      <w:ind w:firstLine="640" w:firstLineChars="200"/>
    </w:pPr>
    <w:rPr>
      <w:rFonts w:ascii="仿宋_GB2312" w:hAnsi="仿宋" w:eastAsia="仿宋_GB2312"/>
      <w:bCs/>
      <w:color w:val="FF0000"/>
      <w:kern w:val="0"/>
      <w:sz w:val="32"/>
      <w:szCs w:val="32"/>
    </w:rPr>
  </w:style>
  <w:style w:type="paragraph" w:customStyle="1" w:styleId="435">
    <w:name w:val="xl109"/>
    <w:basedOn w:val="1"/>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436">
    <w:name w:val="xl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7">
    <w:name w:val="font10"/>
    <w:basedOn w:val="1"/>
    <w:uiPriority w:val="0"/>
    <w:pPr>
      <w:widowControl/>
      <w:spacing w:before="100" w:beforeAutospacing="1" w:after="100" w:afterAutospacing="1"/>
      <w:jc w:val="left"/>
    </w:pPr>
    <w:rPr>
      <w:rFonts w:ascii="宋体" w:hAnsi="宋体" w:cs="宋体"/>
      <w:color w:val="000000"/>
      <w:kern w:val="0"/>
      <w:sz w:val="22"/>
    </w:rPr>
  </w:style>
  <w:style w:type="paragraph" w:customStyle="1" w:styleId="438">
    <w:name w:val="xl2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xl157"/>
    <w:basedOn w:val="1"/>
    <w:qFormat/>
    <w:uiPriority w:val="0"/>
    <w:pPr>
      <w:widowControl/>
      <w:pBdr>
        <w:top w:val="single" w:color="auto" w:sz="4" w:space="0"/>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440">
    <w:name w:val="彩色列表 - 强调文字颜色 13"/>
    <w:basedOn w:val="1"/>
    <w:qFormat/>
    <w:uiPriority w:val="0"/>
    <w:pPr>
      <w:ind w:firstLine="420" w:firstLineChars="200"/>
    </w:pPr>
    <w:rPr>
      <w:rFonts w:ascii="Times New Roman" w:hAnsi="Times New Roman"/>
      <w:szCs w:val="24"/>
    </w:rPr>
  </w:style>
  <w:style w:type="paragraph" w:customStyle="1" w:styleId="441">
    <w:name w:val="xl111"/>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2">
    <w:name w:val="xl75"/>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443">
    <w:name w:val="正文 New"/>
    <w:uiPriority w:val="0"/>
    <w:pPr>
      <w:widowControl w:val="0"/>
      <w:suppressAutoHyphens/>
      <w:jc w:val="both"/>
    </w:pPr>
    <w:rPr>
      <w:rFonts w:ascii="Calibri" w:hAnsi="Calibri" w:eastAsia="宋体" w:cs="Times New Roman"/>
      <w:sz w:val="21"/>
      <w:szCs w:val="21"/>
      <w:lang w:val="en-US" w:eastAsia="ar-SA" w:bidi="ar-SA"/>
    </w:rPr>
  </w:style>
  <w:style w:type="paragraph" w:customStyle="1" w:styleId="444">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xl14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6">
    <w:name w:val="xl11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7">
    <w:name w:val="xl25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48">
    <w:name w:val="正文 A"/>
    <w:qFormat/>
    <w:uiPriority w:val="0"/>
    <w:rPr>
      <w:rFonts w:ascii="Helvetica" w:hAnsi="Arial Unicode MS" w:eastAsia="Arial Unicode MS" w:cs="Arial Unicode MS"/>
      <w:color w:val="000000"/>
      <w:sz w:val="22"/>
      <w:szCs w:val="22"/>
      <w:u w:color="000000"/>
      <w:lang w:val="en-US" w:eastAsia="zh-CN" w:bidi="ar-SA"/>
    </w:rPr>
  </w:style>
  <w:style w:type="paragraph" w:customStyle="1" w:styleId="449">
    <w:name w:val="xl152"/>
    <w:basedOn w:val="1"/>
    <w:uiPriority w:val="0"/>
    <w:pPr>
      <w:widowControl/>
      <w:pBdr>
        <w:left w:val="single" w:color="auto" w:sz="4" w:space="0"/>
        <w:bottom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450">
    <w:name w:val="xl130"/>
    <w:basedOn w:val="1"/>
    <w:uiPriority w:val="0"/>
    <w:pPr>
      <w:widowControl/>
      <w:pBdr>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451">
    <w:name w:val="p16"/>
    <w:basedOn w:val="1"/>
    <w:uiPriority w:val="0"/>
    <w:pPr>
      <w:widowControl/>
    </w:pPr>
    <w:rPr>
      <w:rFonts w:ascii="Times New Roman" w:hAnsi="Times New Roman"/>
      <w:kern w:val="0"/>
      <w:szCs w:val="21"/>
    </w:rPr>
  </w:style>
  <w:style w:type="paragraph" w:customStyle="1" w:styleId="452">
    <w:name w:val="font8"/>
    <w:basedOn w:val="1"/>
    <w:uiPriority w:val="0"/>
    <w:pPr>
      <w:widowControl/>
      <w:spacing w:before="100" w:beforeAutospacing="1" w:after="100" w:afterAutospacing="1"/>
      <w:jc w:val="left"/>
    </w:pPr>
    <w:rPr>
      <w:rFonts w:cs="Calibri"/>
      <w:kern w:val="0"/>
      <w:szCs w:val="21"/>
    </w:rPr>
  </w:style>
  <w:style w:type="paragraph" w:customStyle="1" w:styleId="453">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61"/>
    <w:basedOn w:val="1"/>
    <w:qFormat/>
    <w:uiPriority w:val="0"/>
    <w:pPr>
      <w:widowControl/>
      <w:pBdr>
        <w:left w:val="single" w:color="auto" w:sz="4" w:space="0"/>
        <w:bottom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456">
    <w:name w:val="列出段落11"/>
    <w:basedOn w:val="1"/>
    <w:uiPriority w:val="0"/>
    <w:pPr>
      <w:spacing w:line="360" w:lineRule="auto"/>
      <w:ind w:firstLine="420" w:firstLineChars="200"/>
    </w:pPr>
    <w:rPr>
      <w:rFonts w:cs="Calibri"/>
      <w:szCs w:val="21"/>
    </w:rPr>
  </w:style>
  <w:style w:type="paragraph" w:customStyle="1" w:styleId="457">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458">
    <w:name w:val="xl263"/>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59">
    <w:name w:val="xl2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60">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61">
    <w:name w:val="xl137"/>
    <w:basedOn w:val="1"/>
    <w:qFormat/>
    <w:uiPriority w:val="0"/>
    <w:pPr>
      <w:widowControl/>
      <w:pBdr>
        <w:left w:val="single" w:color="auto" w:sz="4" w:space="0"/>
        <w:bottom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462">
    <w:name w:val="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463">
    <w:name w:val="p17"/>
    <w:basedOn w:val="1"/>
    <w:qFormat/>
    <w:uiPriority w:val="0"/>
    <w:pPr>
      <w:widowControl/>
    </w:pPr>
    <w:rPr>
      <w:rFonts w:cs="宋体"/>
      <w:kern w:val="0"/>
      <w:szCs w:val="21"/>
    </w:rPr>
  </w:style>
  <w:style w:type="paragraph" w:customStyle="1" w:styleId="464">
    <w:name w:val="xl99"/>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465">
    <w:name w:val="xl7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6">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67">
    <w:name w:val="xl132"/>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468">
    <w:name w:val="font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69">
    <w:name w:val="xl2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7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71">
    <w:name w:val="xl131"/>
    <w:basedOn w:val="1"/>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472">
    <w:name w:val="正文文本缩进11"/>
    <w:basedOn w:val="1"/>
    <w:uiPriority w:val="0"/>
    <w:pPr>
      <w:ind w:firstLine="640" w:firstLineChars="200"/>
    </w:pPr>
    <w:rPr>
      <w:rFonts w:ascii="仿宋_GB2312" w:hAnsi="Times New Roman" w:eastAsia="仿宋_GB2312"/>
      <w:kern w:val="0"/>
      <w:sz w:val="32"/>
      <w:szCs w:val="24"/>
    </w:rPr>
  </w:style>
  <w:style w:type="paragraph" w:customStyle="1" w:styleId="473">
    <w:name w:val="xl106"/>
    <w:basedOn w:val="1"/>
    <w:uiPriority w:val="0"/>
    <w:pPr>
      <w:widowControl/>
      <w:pBdr>
        <w:top w:val="single" w:color="auto" w:sz="4" w:space="0"/>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474">
    <w:name w:val="xl76"/>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75">
    <w:name w:val="xl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76">
    <w:name w:val="xl139"/>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477">
    <w:name w:val="xl11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78">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79">
    <w:name w:val="Char Char2 Char Char Char Char Char Char Char Char Char1 Char"/>
    <w:basedOn w:val="1"/>
    <w:qFormat/>
    <w:uiPriority w:val="0"/>
    <w:pPr>
      <w:widowControl/>
      <w:spacing w:after="160" w:line="240" w:lineRule="exact"/>
      <w:jc w:val="left"/>
    </w:pPr>
    <w:rPr>
      <w:rFonts w:ascii="Times New Roman" w:hAnsi="Times New Roman"/>
      <w:szCs w:val="24"/>
    </w:rPr>
  </w:style>
  <w:style w:type="paragraph" w:customStyle="1" w:styleId="480">
    <w:name w:val="xl162"/>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1">
    <w:name w:val="xl14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82">
    <w:name w:val="xl169"/>
    <w:basedOn w:val="1"/>
    <w:uiPriority w:val="0"/>
    <w:pPr>
      <w:widowControl/>
      <w:pBdr>
        <w:left w:val="single" w:color="auto" w:sz="4" w:space="0"/>
        <w:bottom w:val="single" w:color="auto" w:sz="4" w:space="0"/>
        <w:right w:val="single" w:color="auto" w:sz="4" w:space="0"/>
      </w:pBdr>
      <w:shd w:val="clear" w:color="000000" w:fill="CCFFCC"/>
      <w:spacing w:before="100" w:beforeAutospacing="1" w:after="100" w:afterAutospacing="1"/>
      <w:jc w:val="center"/>
    </w:pPr>
    <w:rPr>
      <w:rFonts w:ascii="宋体" w:hAnsi="宋体" w:cs="宋体"/>
      <w:kern w:val="0"/>
      <w:sz w:val="24"/>
      <w:szCs w:val="24"/>
    </w:rPr>
  </w:style>
  <w:style w:type="paragraph" w:customStyle="1" w:styleId="48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84">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5">
    <w:name w:val="xl168"/>
    <w:basedOn w:val="1"/>
    <w:uiPriority w:val="0"/>
    <w:pPr>
      <w:widowControl/>
      <w:pBdr>
        <w:left w:val="single" w:color="auto" w:sz="4" w:space="0"/>
        <w:right w:val="single" w:color="auto" w:sz="4" w:space="0"/>
      </w:pBdr>
      <w:shd w:val="clear" w:color="000000" w:fill="CCFFCC"/>
      <w:spacing w:before="100" w:beforeAutospacing="1" w:after="100" w:afterAutospacing="1"/>
      <w:jc w:val="center"/>
    </w:pPr>
    <w:rPr>
      <w:rFonts w:ascii="宋体" w:hAnsi="宋体" w:cs="宋体"/>
      <w:kern w:val="0"/>
      <w:sz w:val="24"/>
      <w:szCs w:val="24"/>
    </w:rPr>
  </w:style>
  <w:style w:type="paragraph" w:customStyle="1" w:styleId="486">
    <w:name w:val="xl6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7">
    <w:name w:val="xl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88">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9">
    <w:name w:val="正文 New New New"/>
    <w:uiPriority w:val="0"/>
    <w:pPr>
      <w:widowControl w:val="0"/>
      <w:jc w:val="both"/>
    </w:pPr>
    <w:rPr>
      <w:rFonts w:ascii="Calibri" w:hAnsi="Calibri" w:eastAsia="宋体" w:cs="Times New Roman"/>
      <w:szCs w:val="24"/>
      <w:lang w:val="en-US" w:eastAsia="zh-CN" w:bidi="ar-SA"/>
    </w:rPr>
  </w:style>
  <w:style w:type="paragraph" w:customStyle="1" w:styleId="490">
    <w:name w:val="xl88"/>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1">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2">
    <w:name w:val="xl142"/>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93">
    <w:name w:val="22"/>
    <w:basedOn w:val="1"/>
    <w:uiPriority w:val="0"/>
    <w:pPr>
      <w:keepNext/>
      <w:widowControl/>
      <w:spacing w:before="240" w:after="64" w:line="360" w:lineRule="auto"/>
      <w:ind w:left="420" w:hanging="420"/>
    </w:pPr>
    <w:rPr>
      <w:rFonts w:ascii="仿宋_GB2312" w:hAnsi="宋体" w:eastAsia="仿宋_GB2312" w:cs="宋体"/>
      <w:b/>
      <w:bCs/>
      <w:kern w:val="0"/>
      <w:sz w:val="30"/>
      <w:szCs w:val="30"/>
    </w:rPr>
  </w:style>
  <w:style w:type="paragraph" w:customStyle="1" w:styleId="49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正文-第几条"/>
    <w:basedOn w:val="1"/>
    <w:uiPriority w:val="0"/>
    <w:pPr>
      <w:numPr>
        <w:ilvl w:val="0"/>
        <w:numId w:val="4"/>
      </w:numPr>
      <w:spacing w:line="360" w:lineRule="auto"/>
    </w:pPr>
    <w:rPr>
      <w:rFonts w:ascii="Times New Roman" w:hAnsi="Times New Roman"/>
      <w:sz w:val="24"/>
      <w:szCs w:val="24"/>
    </w:rPr>
  </w:style>
  <w:style w:type="paragraph" w:customStyle="1" w:styleId="496">
    <w:name w:val="font14"/>
    <w:basedOn w:val="1"/>
    <w:qFormat/>
    <w:uiPriority w:val="0"/>
    <w:pPr>
      <w:widowControl/>
      <w:spacing w:before="100" w:beforeAutospacing="1" w:after="100" w:afterAutospacing="1"/>
      <w:jc w:val="left"/>
    </w:pPr>
    <w:rPr>
      <w:rFonts w:ascii="宋体" w:hAnsi="宋体" w:cs="宋体"/>
      <w:b/>
      <w:bCs/>
      <w:kern w:val="0"/>
      <w:sz w:val="20"/>
      <w:szCs w:val="20"/>
      <w:u w:val="single"/>
    </w:rPr>
  </w:style>
  <w:style w:type="paragraph" w:customStyle="1" w:styleId="497">
    <w:name w:val="xl140"/>
    <w:basedOn w:val="1"/>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498">
    <w:name w:val="xl11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99">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0">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1">
    <w:name w:val="xl2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02">
    <w:name w:val="xl136"/>
    <w:basedOn w:val="1"/>
    <w:qFormat/>
    <w:uiPriority w:val="0"/>
    <w:pPr>
      <w:widowControl/>
      <w:pBdr>
        <w:left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50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4">
    <w:name w:val="xl6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4"/>
      <w:szCs w:val="24"/>
    </w:rPr>
  </w:style>
  <w:style w:type="paragraph" w:customStyle="1" w:styleId="507">
    <w:name w:val="xl1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8">
    <w:name w:val="xl78"/>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9">
    <w:name w:val="xl2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79"/>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1">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12">
    <w:name w:val="xl118"/>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1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4">
    <w:name w:val="xl2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xl1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6">
    <w:name w:val="xl101"/>
    <w:basedOn w:val="1"/>
    <w:uiPriority w:val="0"/>
    <w:pPr>
      <w:widowControl/>
      <w:pBdr>
        <w:top w:val="single" w:color="auto" w:sz="4" w:space="0"/>
        <w:left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51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518">
    <w:name w:val="xl159"/>
    <w:basedOn w:val="1"/>
    <w:qFormat/>
    <w:uiPriority w:val="0"/>
    <w:pPr>
      <w:widowControl/>
      <w:pBdr>
        <w:top w:val="single" w:color="auto" w:sz="4" w:space="0"/>
        <w:left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519">
    <w:name w:val="xl134"/>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520">
    <w:name w:val="xl82"/>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521">
    <w:name w:val="font12"/>
    <w:basedOn w:val="1"/>
    <w:qFormat/>
    <w:uiPriority w:val="0"/>
    <w:pPr>
      <w:widowControl/>
      <w:spacing w:before="100" w:beforeAutospacing="1" w:after="100" w:afterAutospacing="1"/>
      <w:jc w:val="left"/>
    </w:pPr>
    <w:rPr>
      <w:rFonts w:cs="Calibri"/>
      <w:kern w:val="0"/>
      <w:szCs w:val="21"/>
    </w:rPr>
  </w:style>
  <w:style w:type="paragraph" w:customStyle="1" w:styleId="522">
    <w:name w:val="xl102"/>
    <w:basedOn w:val="1"/>
    <w:uiPriority w:val="0"/>
    <w:pPr>
      <w:widowControl/>
      <w:pBdr>
        <w:left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523">
    <w:name w:val="xl83"/>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524">
    <w:name w:val="xl84"/>
    <w:basedOn w:val="1"/>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525">
    <w:name w:val="xl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font7"/>
    <w:basedOn w:val="1"/>
    <w:uiPriority w:val="0"/>
    <w:pPr>
      <w:widowControl/>
      <w:spacing w:before="100" w:beforeAutospacing="1" w:after="100" w:afterAutospacing="1"/>
      <w:jc w:val="left"/>
    </w:pPr>
    <w:rPr>
      <w:rFonts w:ascii="宋体" w:hAnsi="宋体" w:cs="宋体"/>
      <w:kern w:val="0"/>
      <w:szCs w:val="21"/>
    </w:rPr>
  </w:style>
  <w:style w:type="paragraph" w:customStyle="1" w:styleId="527">
    <w:name w:val="xl135"/>
    <w:basedOn w:val="1"/>
    <w:uiPriority w:val="0"/>
    <w:pPr>
      <w:widowControl/>
      <w:pBdr>
        <w:top w:val="single" w:color="auto" w:sz="4" w:space="0"/>
        <w:left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528">
    <w:name w:val="xl85"/>
    <w:basedOn w:val="1"/>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szCs w:val="24"/>
    </w:rPr>
  </w:style>
  <w:style w:type="paragraph" w:customStyle="1" w:styleId="529">
    <w:name w:val="xl2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30">
    <w:name w:val="xl8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1">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2">
    <w:name w:val="xl151"/>
    <w:basedOn w:val="1"/>
    <w:qFormat/>
    <w:uiPriority w:val="0"/>
    <w:pPr>
      <w:widowControl/>
      <w:pBdr>
        <w:left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53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35">
    <w:name w:val="xl2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6">
    <w:name w:val="xl147"/>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537">
    <w:name w:val="xl123"/>
    <w:basedOn w:val="1"/>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5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39">
    <w:name w:val="xl2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0">
    <w:name w:val="xl167"/>
    <w:basedOn w:val="1"/>
    <w:qFormat/>
    <w:uiPriority w:val="0"/>
    <w:pPr>
      <w:widowControl/>
      <w:pBdr>
        <w:top w:val="single" w:color="auto" w:sz="4" w:space="0"/>
        <w:left w:val="single" w:color="auto" w:sz="4" w:space="0"/>
        <w:right w:val="single" w:color="auto" w:sz="4" w:space="0"/>
      </w:pBdr>
      <w:shd w:val="clear" w:color="000000" w:fill="CCFFCC"/>
      <w:spacing w:before="100" w:beforeAutospacing="1" w:after="100" w:afterAutospacing="1"/>
      <w:jc w:val="center"/>
    </w:pPr>
    <w:rPr>
      <w:rFonts w:ascii="宋体" w:hAnsi="宋体" w:cs="宋体"/>
      <w:kern w:val="0"/>
      <w:sz w:val="24"/>
      <w:szCs w:val="24"/>
    </w:rPr>
  </w:style>
  <w:style w:type="paragraph" w:customStyle="1" w:styleId="541">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2">
    <w:name w:val="xl129"/>
    <w:basedOn w:val="1"/>
    <w:qFormat/>
    <w:uiPriority w:val="0"/>
    <w:pPr>
      <w:widowControl/>
      <w:pBdr>
        <w:top w:val="single" w:color="auto" w:sz="4" w:space="0"/>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543">
    <w:name w:val="样式 ????????ˎ̥ ¶Îº¡¡ì®: 7.8 ¡ãõ ÐÐ¾¡¡ì¡¨¨: ¹Ì¶¡¡"/>
    <w:basedOn w:val="1"/>
    <w:uiPriority w:val="0"/>
    <w:pPr>
      <w:tabs>
        <w:tab w:val="left" w:pos="4140"/>
      </w:tabs>
      <w:ind w:firstLine="600"/>
    </w:pPr>
    <w:rPr>
      <w:rFonts w:ascii="仿宋_GB2312" w:hAnsi="??" w:eastAsia="仿宋_GB2312" w:cs="宋体"/>
      <w:color w:val="FF0000"/>
      <w:sz w:val="32"/>
      <w:szCs w:val="32"/>
    </w:rPr>
  </w:style>
  <w:style w:type="paragraph" w:customStyle="1" w:styleId="544">
    <w:name w:val="彩色列表 - 强调文字颜色 11"/>
    <w:basedOn w:val="1"/>
    <w:qFormat/>
    <w:uiPriority w:val="0"/>
    <w:pPr>
      <w:ind w:firstLine="420" w:firstLineChars="200"/>
    </w:pPr>
    <w:rPr>
      <w:rFonts w:ascii="Times New Roman" w:hAnsi="Times New Roman"/>
      <w:szCs w:val="24"/>
    </w:rPr>
  </w:style>
  <w:style w:type="paragraph" w:customStyle="1" w:styleId="54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546">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7">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8">
    <w:name w:val="默认段落字体 Para Char Char Char Char Char Char Char Char Char"/>
    <w:basedOn w:val="1"/>
    <w:qFormat/>
    <w:uiPriority w:val="0"/>
    <w:pPr>
      <w:keepNext/>
      <w:keepLines/>
      <w:spacing w:line="360" w:lineRule="auto"/>
      <w:jc w:val="left"/>
    </w:pPr>
    <w:rPr>
      <w:rFonts w:ascii="Times New Roman" w:hAnsi="Times New Roman"/>
      <w:szCs w:val="24"/>
    </w:rPr>
  </w:style>
  <w:style w:type="paragraph" w:customStyle="1" w:styleId="54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5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55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5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554">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5">
    <w:name w:val="xl133"/>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556">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557">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8">
    <w:name w:val="xl148"/>
    <w:basedOn w:val="1"/>
    <w:qFormat/>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559">
    <w:name w:val="xl108"/>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560">
    <w:name w:val="xl98"/>
    <w:basedOn w:val="1"/>
    <w:qFormat/>
    <w:uiPriority w:val="0"/>
    <w:pPr>
      <w:widowControl/>
      <w:pBdr>
        <w:left w:val="single" w:color="auto" w:sz="4" w:space="0"/>
        <w:bottom w:val="single" w:color="auto" w:sz="4" w:space="0"/>
        <w:right w:val="single" w:color="auto" w:sz="4" w:space="0"/>
      </w:pBdr>
      <w:shd w:val="clear" w:color="000000" w:fill="CCFFCC"/>
      <w:spacing w:before="100" w:beforeAutospacing="1" w:after="100" w:afterAutospacing="1"/>
      <w:jc w:val="left"/>
      <w:textAlignment w:val="center"/>
    </w:pPr>
    <w:rPr>
      <w:rFonts w:ascii="宋体" w:hAnsi="宋体" w:cs="宋体"/>
      <w:kern w:val="0"/>
      <w:sz w:val="24"/>
      <w:szCs w:val="24"/>
    </w:rPr>
  </w:style>
  <w:style w:type="paragraph" w:customStyle="1" w:styleId="561">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2">
    <w:name w:val="xl104"/>
    <w:basedOn w:val="1"/>
    <w:qFormat/>
    <w:uiPriority w:val="0"/>
    <w:pPr>
      <w:widowControl/>
      <w:pBdr>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563">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4">
    <w:name w:val="xl105"/>
    <w:basedOn w:val="1"/>
    <w:qFormat/>
    <w:uiPriority w:val="0"/>
    <w:pPr>
      <w:widowControl/>
      <w:pBdr>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565">
    <w:name w:val="xl149"/>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566">
    <w:name w:val="xl107"/>
    <w:basedOn w:val="1"/>
    <w:qFormat/>
    <w:uiPriority w:val="0"/>
    <w:pPr>
      <w:widowControl/>
      <w:pBdr>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567">
    <w:name w:val="xl12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568">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69">
    <w:name w:val="xl110"/>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570">
    <w:name w:val="xl113"/>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571">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2">
    <w:name w:val="xl120"/>
    <w:basedOn w:val="1"/>
    <w:qFormat/>
    <w:uiPriority w:val="0"/>
    <w:pPr>
      <w:widowControl/>
      <w:pBdr>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573">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4">
    <w:name w:val="xl1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5">
    <w:name w:val="xl121"/>
    <w:basedOn w:val="1"/>
    <w:qFormat/>
    <w:uiPriority w:val="0"/>
    <w:pPr>
      <w:widowControl/>
      <w:pBdr>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57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7">
    <w:name w:val="xl122"/>
    <w:basedOn w:val="1"/>
    <w:qFormat/>
    <w:uiPriority w:val="0"/>
    <w:pPr>
      <w:widowControl/>
      <w:pBdr>
        <w:left w:val="single" w:color="auto" w:sz="4" w:space="0"/>
        <w:bottom w:val="single" w:color="auto" w:sz="4" w:space="0"/>
        <w:right w:val="single" w:color="auto" w:sz="4" w:space="0"/>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57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xl124"/>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580">
    <w:name w:val="xl1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2">
    <w:name w:val="首行缩进2字符"/>
    <w:basedOn w:val="1"/>
    <w:qFormat/>
    <w:uiPriority w:val="0"/>
    <w:pPr>
      <w:spacing w:line="560" w:lineRule="exact"/>
      <w:ind w:firstLine="200" w:firstLineChars="200"/>
    </w:pPr>
    <w:rPr>
      <w:rFonts w:ascii="仿宋_GB2312" w:hAnsi="仿宋_GB2312" w:eastAsia="仿宋_GB2312"/>
      <w:sz w:val="32"/>
      <w:szCs w:val="20"/>
    </w:rPr>
  </w:style>
  <w:style w:type="paragraph" w:customStyle="1" w:styleId="583">
    <w:name w:val="xl138"/>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84">
    <w:name w:val="xl2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5">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86">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7">
    <w:name w:val="xl154"/>
    <w:basedOn w:val="1"/>
    <w:qFormat/>
    <w:uiPriority w:val="0"/>
    <w:pPr>
      <w:widowControl/>
      <w:pBdr>
        <w:top w:val="single" w:color="auto" w:sz="4" w:space="0"/>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588">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89">
    <w:name w:val="xl155"/>
    <w:basedOn w:val="1"/>
    <w:qFormat/>
    <w:uiPriority w:val="0"/>
    <w:pPr>
      <w:widowControl/>
      <w:pBdr>
        <w:left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590">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1">
    <w:name w:val="xl158"/>
    <w:basedOn w:val="1"/>
    <w:qFormat/>
    <w:uiPriority w:val="0"/>
    <w:pPr>
      <w:widowControl/>
      <w:pBdr>
        <w:left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592">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93">
    <w:name w:val="xl160"/>
    <w:basedOn w:val="1"/>
    <w:qFormat/>
    <w:uiPriority w:val="0"/>
    <w:pPr>
      <w:widowControl/>
      <w:pBdr>
        <w:left w:val="single" w:color="auto" w:sz="4" w:space="0"/>
        <w:right w:val="single" w:color="auto" w:sz="4" w:space="0"/>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594">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5">
    <w:name w:val="xl1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96">
    <w:name w:val="首行缩进:  2 字符 + 首行缩进:  2 字符"/>
    <w:basedOn w:val="1"/>
    <w:qFormat/>
    <w:uiPriority w:val="0"/>
    <w:pPr>
      <w:spacing w:line="560" w:lineRule="exact"/>
      <w:ind w:firstLine="200" w:firstLineChars="200"/>
    </w:pPr>
    <w:rPr>
      <w:rFonts w:ascii="Times New Roman" w:hAnsi="Times New Roman" w:eastAsia="仿宋_GB2312" w:cs="宋体"/>
      <w:sz w:val="32"/>
      <w:szCs w:val="20"/>
    </w:rPr>
  </w:style>
  <w:style w:type="paragraph" w:customStyle="1" w:styleId="597">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98">
    <w:name w:val="font1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599">
    <w:name w:val="xl22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0">
    <w:name w:val="xl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601">
    <w:name w:val="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602">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3">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4">
    <w:name w:val="xl279"/>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605">
    <w:name w:val="样式 首行缩进:  2 字符3"/>
    <w:basedOn w:val="1"/>
    <w:qFormat/>
    <w:uiPriority w:val="0"/>
    <w:pPr>
      <w:spacing w:line="300" w:lineRule="auto"/>
      <w:jc w:val="left"/>
    </w:pPr>
    <w:rPr>
      <w:rFonts w:ascii="宋体" w:hAnsi="宋体"/>
      <w:szCs w:val="20"/>
    </w:rPr>
  </w:style>
  <w:style w:type="paragraph" w:customStyle="1" w:styleId="606">
    <w:name w:val="_Style 8"/>
    <w:basedOn w:val="264"/>
    <w:qFormat/>
    <w:uiPriority w:val="0"/>
  </w:style>
  <w:style w:type="paragraph" w:customStyle="1" w:styleId="607">
    <w:name w:val="Char Char16"/>
    <w:basedOn w:val="1"/>
    <w:qFormat/>
    <w:uiPriority w:val="0"/>
    <w:rPr>
      <w:rFonts w:ascii="Times New Roman" w:hAnsi="Times New Roman"/>
      <w:kern w:val="36"/>
      <w:sz w:val="36"/>
      <w:szCs w:val="24"/>
    </w:rPr>
  </w:style>
  <w:style w:type="paragraph" w:customStyle="1" w:styleId="608">
    <w:name w:val="样式 正文缩进表正文正文非缩进特点正文（首行缩..."/>
    <w:basedOn w:val="5"/>
    <w:qFormat/>
    <w:uiPriority w:val="0"/>
    <w:pPr>
      <w:spacing w:before="156" w:line="360" w:lineRule="auto"/>
      <w:ind w:firstLine="0" w:firstLineChars="0"/>
      <w:jc w:val="center"/>
    </w:pPr>
    <w:rPr>
      <w:rFonts w:ascii="Times New Roman" w:hAnsi="Times New Roman" w:cs="宋体"/>
      <w:b/>
      <w:bCs/>
      <w:sz w:val="32"/>
      <w:szCs w:val="20"/>
    </w:rPr>
  </w:style>
  <w:style w:type="paragraph" w:customStyle="1" w:styleId="609">
    <w:name w:val="表引用编号"/>
    <w:basedOn w:val="1"/>
    <w:semiHidden/>
    <w:qFormat/>
    <w:uiPriority w:val="0"/>
    <w:pPr>
      <w:spacing w:beforeLines="50" w:afterLines="50"/>
      <w:jc w:val="center"/>
    </w:pPr>
    <w:rPr>
      <w:rFonts w:ascii="Arial" w:hAnsi="Arial" w:eastAsia="黑体" w:cs="Arial"/>
      <w:sz w:val="20"/>
      <w:szCs w:val="20"/>
    </w:rPr>
  </w:style>
  <w:style w:type="paragraph" w:customStyle="1" w:styleId="610">
    <w:name w:val="字元 字元"/>
    <w:basedOn w:val="1"/>
    <w:uiPriority w:val="0"/>
    <w:pPr>
      <w:tabs>
        <w:tab w:val="left" w:pos="360"/>
      </w:tabs>
    </w:pPr>
    <w:rPr>
      <w:rFonts w:ascii="Times New Roman" w:hAnsi="Times New Roman"/>
      <w:sz w:val="24"/>
      <w:szCs w:val="24"/>
    </w:rPr>
  </w:style>
  <w:style w:type="paragraph" w:customStyle="1" w:styleId="611">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338"/>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90"/>
    <customShpInfo spid="_x0000_s1191"/>
    <customShpInfo spid="_x0000_s1192"/>
    <customShpInfo spid="_x0000_s1189"/>
    <customShpInfo spid="_x0000_s1193"/>
    <customShpInfo spid="_x0000_s1194"/>
    <customShpInfo spid="_x0000_s1195"/>
    <customShpInfo spid="_x0000_s1196"/>
    <customShpInfo spid="_x0000_s1197"/>
    <customShpInfo spid="_x0000_s1198"/>
    <customShpInfo spid="_x0000_s1199"/>
    <customShpInfo spid="_x0000_s1200"/>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2"/>
    <customShpInfo spid="_x0000_s1213"/>
    <customShpInfo spid="_x0000_s1341"/>
    <customShpInfo spid="_x0000_s1152"/>
    <customShpInfo spid="_x0000_s11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GHOST</Company>
  <Pages>63</Pages>
  <Words>8814</Words>
  <Characters>50244</Characters>
  <Lines>418</Lines>
  <Paragraphs>117</Paragraphs>
  <TotalTime>8</TotalTime>
  <ScaleCrop>false</ScaleCrop>
  <LinksUpToDate>false</LinksUpToDate>
  <CharactersWithSpaces>58941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2020-05-14T08:35:00Z</dcterms:created>
  <dc:creator>zhangweiqing</dc:creator>
  <cp:lastModifiedBy>Chenbaby</cp:lastModifiedBy>
  <cp:lastPrinted>2019-10-08T03:32:00Z</cp:lastPrinted>
  <dcterms:modified xsi:type="dcterms:W3CDTF">2021-04-29T03:15:06Z</dcterms:modified>
  <dc:title>关于公布深圳市行政服务大厅</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332DCB7F16A34BC1A0133218E98D4229</vt:lpwstr>
  </property>
</Properties>
</file>