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bookmarkStart w:id="5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排水管涵病险检测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技术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实战演练方法</w:t>
      </w:r>
    </w:p>
    <w:bookmarkEnd w:id="5"/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依托征集到的《排水管涵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病险检测技术实战演练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》，依次开展复核和实战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演练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演练</w:t>
      </w:r>
      <w:r>
        <w:rPr>
          <w:rFonts w:hint="eastAsia" w:ascii="仿宋_GB2312" w:hAnsi="仿宋_GB2312" w:eastAsia="仿宋_GB2312" w:cs="仿宋_GB2312"/>
          <w:sz w:val="32"/>
          <w:szCs w:val="32"/>
        </w:rPr>
        <w:t>方法如下：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一、设备复核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（一）复核目的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主要验证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参演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实体与设备说明书的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关键</w:t>
      </w:r>
      <w:r>
        <w:rPr>
          <w:rFonts w:hint="eastAsia" w:ascii="仿宋_GB2312" w:hAnsi="仿宋_GB2312" w:eastAsia="仿宋_GB2312" w:cs="仿宋_GB2312"/>
          <w:sz w:val="32"/>
          <w:szCs w:val="32"/>
        </w:rPr>
        <w:t>参数是否一致。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复核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方法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工作人员在设备进入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演练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场地前，参照设备说明书的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关键</w:t>
      </w:r>
      <w:r>
        <w:rPr>
          <w:rFonts w:hint="eastAsia" w:ascii="仿宋_GB2312" w:hAnsi="仿宋_GB2312" w:eastAsia="仿宋_GB2312" w:cs="仿宋_GB2312"/>
          <w:sz w:val="32"/>
          <w:szCs w:val="32"/>
        </w:rPr>
        <w:t>参数与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参演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设备进行核对，经核实设备实体与说明书一致的，允许进入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演练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二、实战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演练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演练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目的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不同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管涵类型</w:t>
      </w:r>
      <w:r>
        <w:rPr>
          <w:rFonts w:hint="eastAsia" w:ascii="仿宋_GB2312" w:hAnsi="仿宋_GB2312" w:eastAsia="仿宋_GB2312" w:cs="仿宋_GB2312"/>
          <w:sz w:val="32"/>
          <w:szCs w:val="32"/>
        </w:rPr>
        <w:t>、不同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场景需求，通过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综合实战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演练</w:t>
      </w:r>
      <w:r>
        <w:rPr>
          <w:rFonts w:hint="eastAsia" w:ascii="仿宋_GB2312" w:hAnsi="仿宋_GB2312" w:eastAsia="仿宋_GB2312" w:cs="仿宋_GB2312"/>
          <w:sz w:val="32"/>
          <w:szCs w:val="32"/>
        </w:rPr>
        <w:t>，综合检验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实战能力。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演练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方法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1.地下空洞探测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演练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建设地下3-5m空洞模拟场景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利用既有埋深5-10m排水管涵模拟</w:t>
      </w:r>
      <w:r>
        <w:rPr>
          <w:rFonts w:hint="eastAsia" w:ascii="仿宋_GB2312" w:hAnsi="仿宋_GB2312" w:eastAsia="仿宋_GB2312" w:cs="仿宋_GB2312"/>
          <w:sz w:val="32"/>
          <w:szCs w:val="32"/>
        </w:rPr>
        <w:t>地下5-10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>空洞场景开展地下空洞探测。下达检测任务指令后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各项准备用时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检测出空洞时间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判别空洞类型时间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操作规范性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判别检测成果准确度。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.排水管涵检测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演练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既有排水管涵不同的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工况</w:t>
      </w:r>
      <w:r>
        <w:rPr>
          <w:rFonts w:hint="eastAsia" w:ascii="仿宋_GB2312" w:hAnsi="仿宋_GB2312" w:eastAsia="仿宋_GB2312" w:cs="仿宋_GB2312"/>
          <w:sz w:val="32"/>
          <w:szCs w:val="32"/>
        </w:rPr>
        <w:t>（充满度≤70%排水管道、充满度100%且流速＜1.5m/s排水管道、充满度100%且1.5m/s≤流速≤3m/s排水管道、沉积4级排水管道）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开展管涵</w:t>
      </w:r>
      <w:r>
        <w:rPr>
          <w:rFonts w:hint="eastAsia" w:ascii="仿宋_GB2312" w:hAnsi="仿宋_GB2312" w:eastAsia="仿宋_GB2312" w:cs="仿宋_GB2312"/>
          <w:sz w:val="32"/>
          <w:szCs w:val="32"/>
        </w:rPr>
        <w:t>内窥检测。下达检测任务指令后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各项准备用时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检测到管涵缺陷时间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判别缺陷等级时间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操作规范性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判别检测成果准确度。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暗渠化河道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演练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既有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暗渠化河道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暗渠长距离内窥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检测。下达检测任务指令后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各项准备用时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暗渠</w:t>
      </w:r>
      <w:r>
        <w:rPr>
          <w:rFonts w:hint="eastAsia" w:ascii="仿宋_GB2312" w:hAnsi="仿宋_GB2312" w:eastAsia="仿宋_GB2312" w:cs="仿宋_GB2312"/>
          <w:sz w:val="32"/>
          <w:szCs w:val="32"/>
        </w:rPr>
        <w:t>缺陷时间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判别缺陷等级时间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操作规范性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判别检测成果准确度。</w:t>
      </w:r>
    </w:p>
    <w:sectPr>
      <w:footerReference r:id="rId3" w:type="default"/>
      <w:pgSz w:w="11906" w:h="16838"/>
      <w:pgMar w:top="2098" w:right="1474" w:bottom="1984" w:left="1587" w:header="0" w:footer="1474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22"/>
        <w:rFonts w:ascii="宋体" w:hAnsi="宋体"/>
        <w:color w:val="FFFFFF"/>
        <w:sz w:val="28"/>
        <w:szCs w:val="28"/>
      </w:rPr>
    </w:pPr>
    <w:bookmarkStart w:id="0" w:name="OLE_LINK6"/>
    <w:bookmarkStart w:id="1" w:name="_Hlk82966"/>
    <w:bookmarkStart w:id="2" w:name="OLE_LINK20"/>
    <w:bookmarkStart w:id="3" w:name="OLE_LINK1"/>
    <w:bookmarkStart w:id="4" w:name="OLE_LINK5"/>
    <w:r>
      <w:rPr>
        <w:rStyle w:val="22"/>
        <w:rFonts w:hint="eastAsia" w:ascii="宋体" w:hAnsi="宋体"/>
        <w:color w:val="FFFFFF"/>
        <w:sz w:val="28"/>
        <w:szCs w:val="28"/>
      </w:rPr>
      <w:t>—</w:t>
    </w:r>
    <w:r>
      <w:rPr>
        <w:rStyle w:val="22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22"/>
        <w:rFonts w:hint="eastAsia" w:ascii="宋体" w:hAnsi="宋体"/>
        <w:sz w:val="28"/>
        <w:szCs w:val="28"/>
      </w:rPr>
      <w:t xml:space="preserve"> —</w:t>
    </w:r>
    <w:r>
      <w:rPr>
        <w:rStyle w:val="22"/>
        <w:rFonts w:hint="eastAsia" w:ascii="宋体" w:hAnsi="宋体"/>
        <w:color w:val="FFFFFF"/>
        <w:sz w:val="28"/>
        <w:szCs w:val="28"/>
      </w:rPr>
      <w:t>—</w:t>
    </w:r>
  </w:p>
  <w:bookmarkEnd w:id="0"/>
  <w:bookmarkEnd w:id="1"/>
  <w:bookmarkEnd w:id="2"/>
  <w:bookmarkEnd w:id="3"/>
  <w:bookmarkEnd w:id="4"/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BD"/>
    <w:rsid w:val="000C29B5"/>
    <w:rsid w:val="000F6321"/>
    <w:rsid w:val="0019636A"/>
    <w:rsid w:val="00344239"/>
    <w:rsid w:val="003539D3"/>
    <w:rsid w:val="003845CE"/>
    <w:rsid w:val="003F023D"/>
    <w:rsid w:val="00411926"/>
    <w:rsid w:val="0044436E"/>
    <w:rsid w:val="0046133F"/>
    <w:rsid w:val="0049591B"/>
    <w:rsid w:val="004A5469"/>
    <w:rsid w:val="004B5C30"/>
    <w:rsid w:val="004C1D75"/>
    <w:rsid w:val="004C4B6F"/>
    <w:rsid w:val="00562736"/>
    <w:rsid w:val="00567C75"/>
    <w:rsid w:val="00631440"/>
    <w:rsid w:val="00652E03"/>
    <w:rsid w:val="006A334E"/>
    <w:rsid w:val="006F1019"/>
    <w:rsid w:val="00731CD4"/>
    <w:rsid w:val="00764396"/>
    <w:rsid w:val="007661DB"/>
    <w:rsid w:val="007B48C0"/>
    <w:rsid w:val="007B5552"/>
    <w:rsid w:val="007D2DCF"/>
    <w:rsid w:val="0088236E"/>
    <w:rsid w:val="008D2706"/>
    <w:rsid w:val="0095655C"/>
    <w:rsid w:val="0097236A"/>
    <w:rsid w:val="00A53657"/>
    <w:rsid w:val="00A71A0C"/>
    <w:rsid w:val="00AB19C0"/>
    <w:rsid w:val="00B002B6"/>
    <w:rsid w:val="00B52025"/>
    <w:rsid w:val="00C942DD"/>
    <w:rsid w:val="00CA54A5"/>
    <w:rsid w:val="00D1188E"/>
    <w:rsid w:val="00D14C48"/>
    <w:rsid w:val="00D83F28"/>
    <w:rsid w:val="00ED4FBD"/>
    <w:rsid w:val="00F4641E"/>
    <w:rsid w:val="00F51EC2"/>
    <w:rsid w:val="04200614"/>
    <w:rsid w:val="058645FB"/>
    <w:rsid w:val="067B3B5E"/>
    <w:rsid w:val="071330D9"/>
    <w:rsid w:val="07B10940"/>
    <w:rsid w:val="09D8004E"/>
    <w:rsid w:val="09FA3FA4"/>
    <w:rsid w:val="0B066C79"/>
    <w:rsid w:val="0C8832B0"/>
    <w:rsid w:val="0E686F15"/>
    <w:rsid w:val="0E6B2DE7"/>
    <w:rsid w:val="0EA63619"/>
    <w:rsid w:val="0EE50134"/>
    <w:rsid w:val="0F6251CC"/>
    <w:rsid w:val="12617F82"/>
    <w:rsid w:val="17757729"/>
    <w:rsid w:val="1A2A463F"/>
    <w:rsid w:val="1ABA0403"/>
    <w:rsid w:val="1D37200B"/>
    <w:rsid w:val="1ED377AF"/>
    <w:rsid w:val="21822D81"/>
    <w:rsid w:val="21A9771B"/>
    <w:rsid w:val="22900B68"/>
    <w:rsid w:val="234767AB"/>
    <w:rsid w:val="25A466AC"/>
    <w:rsid w:val="25BD2AA1"/>
    <w:rsid w:val="27F800B7"/>
    <w:rsid w:val="288F0ACD"/>
    <w:rsid w:val="28C57767"/>
    <w:rsid w:val="29DC390B"/>
    <w:rsid w:val="2B8E1FE9"/>
    <w:rsid w:val="2C9D25D0"/>
    <w:rsid w:val="314B20D2"/>
    <w:rsid w:val="356C5582"/>
    <w:rsid w:val="35965408"/>
    <w:rsid w:val="359D70AA"/>
    <w:rsid w:val="359D7E45"/>
    <w:rsid w:val="36080F96"/>
    <w:rsid w:val="3CD12B6E"/>
    <w:rsid w:val="3DD408C3"/>
    <w:rsid w:val="3EA77D30"/>
    <w:rsid w:val="3F375AA7"/>
    <w:rsid w:val="3FB2368A"/>
    <w:rsid w:val="3FDE694C"/>
    <w:rsid w:val="40672358"/>
    <w:rsid w:val="41A56880"/>
    <w:rsid w:val="41F158E5"/>
    <w:rsid w:val="432F1401"/>
    <w:rsid w:val="438A5F93"/>
    <w:rsid w:val="438B53DA"/>
    <w:rsid w:val="43BC4AF1"/>
    <w:rsid w:val="43C71A7C"/>
    <w:rsid w:val="46164D72"/>
    <w:rsid w:val="466C5790"/>
    <w:rsid w:val="46A479B0"/>
    <w:rsid w:val="47BE3CD9"/>
    <w:rsid w:val="47F60B91"/>
    <w:rsid w:val="4843005C"/>
    <w:rsid w:val="487B5747"/>
    <w:rsid w:val="4E487C6C"/>
    <w:rsid w:val="4E751E7F"/>
    <w:rsid w:val="4F0502EF"/>
    <w:rsid w:val="4FCE5F50"/>
    <w:rsid w:val="508655AC"/>
    <w:rsid w:val="53DF36E7"/>
    <w:rsid w:val="55803F82"/>
    <w:rsid w:val="56C912AB"/>
    <w:rsid w:val="56D34201"/>
    <w:rsid w:val="57232AE6"/>
    <w:rsid w:val="58354E91"/>
    <w:rsid w:val="58ED5699"/>
    <w:rsid w:val="5A3D63EE"/>
    <w:rsid w:val="5C836430"/>
    <w:rsid w:val="5D242DFB"/>
    <w:rsid w:val="5D960A70"/>
    <w:rsid w:val="6023519F"/>
    <w:rsid w:val="60D31749"/>
    <w:rsid w:val="629E3F91"/>
    <w:rsid w:val="640F41EE"/>
    <w:rsid w:val="64337DCE"/>
    <w:rsid w:val="662408D6"/>
    <w:rsid w:val="688D1606"/>
    <w:rsid w:val="69A004FC"/>
    <w:rsid w:val="6A822BE5"/>
    <w:rsid w:val="6B921862"/>
    <w:rsid w:val="6ED4537A"/>
    <w:rsid w:val="6F583990"/>
    <w:rsid w:val="6F8B76CE"/>
    <w:rsid w:val="710C6CF8"/>
    <w:rsid w:val="716A5418"/>
    <w:rsid w:val="719309E3"/>
    <w:rsid w:val="78FD683C"/>
    <w:rsid w:val="7A58610A"/>
    <w:rsid w:val="7AC451AB"/>
    <w:rsid w:val="7AFB15F5"/>
    <w:rsid w:val="7C65264B"/>
    <w:rsid w:val="7E504B1B"/>
    <w:rsid w:val="7F0B1B65"/>
    <w:rsid w:val="7FFFFA31"/>
    <w:rsid w:val="B87A8F43"/>
    <w:rsid w:val="E7BF3C02"/>
    <w:rsid w:val="F6F9C0BE"/>
    <w:rsid w:val="FF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qFormat/>
    <w:uiPriority w:val="0"/>
    <w:pPr>
      <w:spacing w:after="160" w:line="360" w:lineRule="auto"/>
      <w:ind w:firstLine="200" w:firstLineChars="200"/>
    </w:pPr>
    <w:rPr>
      <w:rFonts w:ascii="Calibri" w:hAnsi="Calibri" w:eastAsia="宋体" w:cs="宋体"/>
      <w:sz w:val="24"/>
      <w:lang w:val="en-US" w:eastAsia="zh-CN" w:bidi="ar-SA"/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2">
    <w:name w:val="page number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1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1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1"/>
    <w:link w:val="14"/>
    <w:qFormat/>
    <w:uiPriority w:val="99"/>
    <w:rPr>
      <w:sz w:val="18"/>
      <w:szCs w:val="18"/>
    </w:rPr>
  </w:style>
  <w:style w:type="character" w:customStyle="1" w:styleId="42">
    <w:name w:val="页脚 字符"/>
    <w:basedOn w:val="21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1093</Words>
  <Characters>1161</Characters>
  <Lines>21</Lines>
  <Paragraphs>6</Paragraphs>
  <TotalTime>11</TotalTime>
  <ScaleCrop>false</ScaleCrop>
  <LinksUpToDate>false</LinksUpToDate>
  <CharactersWithSpaces>1221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2025-04-15T09:27:00Z</dcterms:created>
  <dc:creator>业毅 余</dc:creator>
  <cp:lastModifiedBy>o</cp:lastModifiedBy>
  <cp:lastPrinted>2025-05-13T05:05:00Z</cp:lastPrinted>
  <dcterms:modified xsi:type="dcterms:W3CDTF">2025-05-14T01:40:05Z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eyJoZGlkIjoiODA4MjYzMDBhNzkxZTZjNTJmNzcwODhjMzYzMjdmZDUiLCJ1c2VySWQiOiIzNDk2NTk5MjkifQ==</vt:lpwstr>
  </property>
  <property fmtid="{D5CDD505-2E9C-101B-9397-08002B2CF9AE}" pid="3" name="KSOProductBuildVer">
    <vt:lpwstr>2052-11.8.2.8361</vt:lpwstr>
  </property>
  <property fmtid="{D5CDD505-2E9C-101B-9397-08002B2CF9AE}" pid="4" name="ICV">
    <vt:lpwstr>85B250725F404B788685137D8960C648_13</vt:lpwstr>
  </property>
</Properties>
</file>