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B974">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深圳市水务局2025年度人大建议办理</w:t>
      </w:r>
    </w:p>
    <w:p w14:paraId="3778BF5C">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工作总结</w:t>
      </w:r>
    </w:p>
    <w:p w14:paraId="3010CB3D">
      <w:pPr>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eastAsia="仿宋_GB2312" w:cs="仿宋_GB2312"/>
          <w:color w:val="000000"/>
          <w:sz w:val="31"/>
          <w:szCs w:val="31"/>
        </w:rPr>
      </w:pPr>
    </w:p>
    <w:p w14:paraId="50FBD9D3">
      <w:pPr>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eastAsia="仿宋_GB2312" w:cs="仿宋_GB2312"/>
          <w:color w:val="000000"/>
          <w:sz w:val="31"/>
          <w:szCs w:val="31"/>
        </w:rPr>
        <w:t>根据《关于交付办理市七届人大六次会议代表建议的通知》要求，我局严标准、强规范、重实效，扎实做好</w:t>
      </w:r>
      <w:r>
        <w:rPr>
          <w:rFonts w:hint="eastAsia" w:ascii="仿宋_GB2312" w:cs="仿宋_GB2312"/>
          <w:color w:val="000000"/>
          <w:sz w:val="31"/>
          <w:szCs w:val="31"/>
          <w:lang w:val="en-US" w:eastAsia="zh-CN"/>
        </w:rPr>
        <w:t>建议</w:t>
      </w:r>
      <w:r>
        <w:rPr>
          <w:rFonts w:hint="eastAsia" w:ascii="仿宋_GB2312" w:eastAsia="仿宋_GB2312" w:cs="仿宋_GB2312"/>
          <w:color w:val="000000"/>
          <w:sz w:val="31"/>
          <w:szCs w:val="31"/>
        </w:rPr>
        <w:t>办理各项工作，实现“签收率、答复率、满意率”3项指标均达100%的年度工作目标。</w:t>
      </w:r>
      <w:r>
        <w:rPr>
          <w:rFonts w:hint="eastAsia" w:ascii="仿宋_GB2312" w:cs="仿宋_GB2312"/>
          <w:color w:val="000000"/>
          <w:sz w:val="31"/>
          <w:szCs w:val="31"/>
          <w:lang w:val="en-US" w:eastAsia="zh-CN"/>
        </w:rPr>
        <w:t>具体情况</w:t>
      </w:r>
      <w:r>
        <w:rPr>
          <w:rFonts w:hint="eastAsia" w:ascii="仿宋_GB2312" w:eastAsia="仿宋_GB2312" w:cs="仿宋_GB2312"/>
          <w:color w:val="000000"/>
          <w:sz w:val="31"/>
          <w:szCs w:val="31"/>
        </w:rPr>
        <w:t>如下</w:t>
      </w:r>
      <w:r>
        <w:rPr>
          <w:rFonts w:hint="eastAsia" w:ascii="仿宋_GB2312" w:hAnsi="仿宋_GB2312" w:eastAsia="仿宋_GB2312" w:cs="仿宋_GB2312"/>
          <w:b w:val="0"/>
          <w:bCs w:val="0"/>
          <w:color w:val="000000"/>
          <w:sz w:val="32"/>
          <w:szCs w:val="32"/>
          <w:lang w:val="en-US" w:eastAsia="zh-CN"/>
        </w:rPr>
        <w:t>：</w:t>
      </w:r>
    </w:p>
    <w:p w14:paraId="731898E0">
      <w:pPr>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6F897A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2025年，我局共办理市七届人大六次会议代表建议30件，其中2025年重点建议1件、承办2件、分办4件、主办10件、汇办13件，建议内容涉及排水管网运营维护、西江水科普宣传、再生水利用、改善纯净水入户单管供水造成水资源浪费影响</w:t>
      </w:r>
      <w:r>
        <w:rPr>
          <w:rFonts w:hint="eastAsia" w:ascii="仿宋_GB2312" w:hAnsi="仿宋_GB2312" w:cs="仿宋_GB2312"/>
          <w:b w:val="0"/>
          <w:bCs w:val="0"/>
          <w:color w:val="000000"/>
          <w:sz w:val="32"/>
          <w:szCs w:val="32"/>
          <w:lang w:eastAsia="zh-CN"/>
        </w:rPr>
        <w:t>及</w:t>
      </w:r>
      <w:r>
        <w:rPr>
          <w:rFonts w:hint="eastAsia" w:ascii="仿宋_GB2312" w:hAnsi="仿宋_GB2312" w:cs="仿宋_GB2312"/>
          <w:b w:val="0"/>
          <w:bCs w:val="0"/>
          <w:color w:val="000000"/>
          <w:sz w:val="32"/>
          <w:szCs w:val="32"/>
          <w:lang w:val="en-US" w:eastAsia="zh-CN"/>
        </w:rPr>
        <w:t>加强饮用水节约和建筑工地基坑水利用等领域，均已全部办结，建议签收率、答复率、满意率均为100%。</w:t>
      </w:r>
    </w:p>
    <w:p w14:paraId="05778C76">
      <w:pPr>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二、主要措施</w:t>
      </w:r>
    </w:p>
    <w:p w14:paraId="681124E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楷体_GB2312" w:hAnsi="楷体_GB2312" w:eastAsia="楷体_GB2312" w:cs="楷体_GB2312"/>
          <w:b w:val="0"/>
          <w:bCs w:val="0"/>
          <w:color w:val="000000"/>
          <w:sz w:val="31"/>
          <w:szCs w:val="31"/>
          <w:highlight w:val="none"/>
        </w:rPr>
      </w:pPr>
      <w:r>
        <w:rPr>
          <w:rFonts w:hint="eastAsia" w:ascii="楷体_GB2312" w:hAnsi="楷体_GB2312" w:eastAsia="楷体_GB2312" w:cs="楷体_GB2312"/>
          <w:b w:val="0"/>
          <w:bCs w:val="0"/>
          <w:color w:val="000000"/>
          <w:sz w:val="31"/>
          <w:szCs w:val="31"/>
          <w:highlight w:val="none"/>
          <w:lang w:val="en-US" w:eastAsia="zh-CN"/>
        </w:rPr>
        <w:t>（一）</w:t>
      </w:r>
      <w:r>
        <w:rPr>
          <w:rFonts w:hint="eastAsia" w:ascii="楷体_GB2312" w:hAnsi="楷体_GB2312" w:eastAsia="楷体_GB2312" w:cs="楷体_GB2312"/>
          <w:b w:val="0"/>
          <w:bCs w:val="0"/>
          <w:color w:val="000000"/>
          <w:sz w:val="31"/>
          <w:szCs w:val="31"/>
          <w:highlight w:val="none"/>
        </w:rPr>
        <w:t>夯实责任链条，优化办理机制</w:t>
      </w:r>
    </w:p>
    <w:p w14:paraId="00E579A1">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仿宋_GB2312" w:eastAsia="仿宋_GB2312" w:cs="仿宋_GB2312"/>
          <w:b w:val="0"/>
          <w:bCs w:val="0"/>
          <w:color w:val="000000"/>
          <w:sz w:val="31"/>
          <w:szCs w:val="31"/>
          <w:highlight w:val="none"/>
        </w:rPr>
      </w:pPr>
      <w:r>
        <w:rPr>
          <w:rFonts w:hint="eastAsia" w:ascii="仿宋_GB2312" w:eastAsia="仿宋_GB2312" w:cs="仿宋_GB2312"/>
          <w:color w:val="000000"/>
          <w:sz w:val="31"/>
          <w:szCs w:val="31"/>
          <w:lang w:val="en-US" w:eastAsia="zh-CN"/>
        </w:rPr>
        <w:t>我局将人大建议办理工作纳入局重点推进工作事项，全面落实“局主要领导总负责、分管领导牵头抓、处室（单位）主要负责人具体抓、办公室统筹协调”的工作责任制，切实做到分工明确、全程指导、统筹推进。制定办理工作方案，明确办理流程、时限要求、答复内容及格式标准，重点强化内容审查、程序规范、文书质检三大环节，形成“统一受理、限时反馈、跟踪回访、归类办结”的工作机制，确保实现办理时效与答复质量的“双达标”。针对涉及多业务部门职责的综合性建议，建立跨部门协同机制，实行联合办理、统一答复，持续提升办理质量和代表满意度。</w:t>
      </w:r>
    </w:p>
    <w:p w14:paraId="18119CD6">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楷体_GB2312" w:hAnsi="楷体_GB2312" w:eastAsia="楷体_GB2312" w:cs="楷体_GB2312"/>
          <w:b w:val="0"/>
          <w:bCs w:val="0"/>
          <w:color w:val="000000"/>
          <w:sz w:val="31"/>
          <w:szCs w:val="31"/>
          <w:highlight w:val="none"/>
          <w:lang w:val="en-US" w:eastAsia="zh-CN"/>
        </w:rPr>
      </w:pPr>
      <w:r>
        <w:rPr>
          <w:rFonts w:hint="eastAsia" w:ascii="楷体_GB2312" w:hAnsi="楷体_GB2312" w:eastAsia="楷体_GB2312" w:cs="楷体_GB2312"/>
          <w:b w:val="0"/>
          <w:bCs w:val="0"/>
          <w:color w:val="000000"/>
          <w:sz w:val="31"/>
          <w:szCs w:val="31"/>
          <w:highlight w:val="none"/>
          <w:lang w:val="en-US" w:eastAsia="zh-CN"/>
        </w:rPr>
        <w:t>（二）强化沟通协商，提升办理质效</w:t>
      </w:r>
    </w:p>
    <w:p w14:paraId="6300F97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仿宋_GB2312" w:eastAsia="仿宋_GB2312" w:cs="仿宋_GB2312"/>
          <w:b w:val="0"/>
          <w:bCs w:val="0"/>
          <w:color w:val="000000"/>
          <w:sz w:val="31"/>
          <w:szCs w:val="31"/>
          <w:highlight w:val="none"/>
          <w:lang w:val="en-US" w:eastAsia="zh-CN"/>
        </w:rPr>
      </w:pPr>
      <w:r>
        <w:rPr>
          <w:rFonts w:hint="eastAsia" w:ascii="仿宋_GB2312" w:eastAsia="仿宋_GB2312" w:cs="仿宋_GB2312"/>
          <w:b w:val="0"/>
          <w:bCs w:val="0"/>
          <w:color w:val="000000"/>
          <w:sz w:val="31"/>
          <w:szCs w:val="31"/>
          <w:highlight w:val="none"/>
          <w:lang w:val="en-US" w:eastAsia="zh-CN"/>
        </w:rPr>
        <w:t>我局在建议办理全过程始终坚持“沟通协商在前，行文答复在后”原则。在办理过程中，注重加强与代表的沟通，充分了解代表的初衷和意图，同时加强与会办单位的协同，寻求支持和配合，形成办理合力。在办理答复时，通过现场调研、专题座谈、电话征询等形式与代表进行全方位、多渠道沟通，增进双方的共识和理解。如5月28日，我局就《关于改善深圳市纯净水入户单管供水造成水资源浪费的建议》，邀请耿博代表赴市环水集团调研并组织座谈交流；7月25日，我局就《关于加强与施工项目协调做好排水管网运营维护的重点建议》，邀请洪小红等代表赴地铁16号线园山站项目调研，并组织座谈交流。</w:t>
      </w:r>
    </w:p>
    <w:p w14:paraId="659092C1">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楷体_GB2312" w:hAnsi="楷体_GB2312" w:eastAsia="楷体_GB2312" w:cs="楷体_GB2312"/>
          <w:b w:val="0"/>
          <w:bCs w:val="0"/>
          <w:color w:val="000000"/>
          <w:sz w:val="31"/>
          <w:szCs w:val="31"/>
          <w:highlight w:val="none"/>
        </w:rPr>
      </w:pPr>
      <w:r>
        <w:rPr>
          <w:rFonts w:hint="eastAsia" w:ascii="楷体_GB2312" w:hAnsi="楷体_GB2312" w:eastAsia="楷体_GB2312" w:cs="楷体_GB2312"/>
          <w:b w:val="0"/>
          <w:bCs w:val="0"/>
          <w:color w:val="000000"/>
          <w:sz w:val="31"/>
          <w:szCs w:val="31"/>
          <w:highlight w:val="none"/>
          <w:lang w:val="en-US" w:eastAsia="zh-CN"/>
        </w:rPr>
        <w:t>（三）注重成果转化，推动行业发展</w:t>
      </w:r>
    </w:p>
    <w:p w14:paraId="0F9F3623">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eastAsia" w:ascii="仿宋_GB2312" w:eastAsia="仿宋_GB2312" w:cs="仿宋_GB2312"/>
          <w:b/>
          <w:bCs/>
          <w:color w:val="000000"/>
          <w:sz w:val="31"/>
          <w:szCs w:val="31"/>
          <w:highlight w:val="none"/>
          <w:lang w:eastAsia="zh-CN"/>
        </w:rPr>
      </w:pPr>
      <w:r>
        <w:rPr>
          <w:rFonts w:hint="eastAsia" w:ascii="仿宋_GB2312" w:eastAsia="仿宋_GB2312" w:cs="仿宋_GB2312"/>
          <w:b w:val="0"/>
          <w:bCs w:val="0"/>
          <w:color w:val="000000"/>
          <w:sz w:val="31"/>
          <w:szCs w:val="31"/>
          <w:highlight w:val="none"/>
          <w:lang w:val="en-US" w:eastAsia="zh-CN"/>
        </w:rPr>
        <w:t>我局把建议办理作为推动水务工作提质增效的契机，对代表聚焦的重点领域建议进行充分吸纳，将有价值的建议转化为推进</w:t>
      </w:r>
      <w:r>
        <w:rPr>
          <w:rFonts w:hint="eastAsia" w:ascii="仿宋_GB2312" w:hAnsi="宋体" w:eastAsia="仿宋_GB2312" w:cs="仿宋_GB2312"/>
          <w:b w:val="0"/>
          <w:color w:val="000000"/>
          <w:sz w:val="31"/>
          <w:szCs w:val="31"/>
        </w:rPr>
        <w:t>水务工作的具体举措。例如，结合代表关于激活水资源潜力，创新发展水库经济的建议，我局与龙岗区政府等单位组织开展“我帮企业搭场景”——走进清林径水库水务专场对接活动，为150家企业搭建智慧水务场景，现场推动80多家企业达成场景意向，促成龙岗区正式建立深圳市智能水务产业园，形成市、区联动创新的“市场＋资源＋应用场景”招商模式。</w:t>
      </w:r>
    </w:p>
    <w:p w14:paraId="46D97D24">
      <w:pPr>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三、典型案例</w:t>
      </w:r>
    </w:p>
    <w:p w14:paraId="4A1EA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highlight w:val="none"/>
        </w:rPr>
        <w:t>在人大建议办理工作中，我局立足水务行业基础保障和民生服务部门实际特点，把建议办理作为倾听群众呼声、回应社会关切、提升服务效能的重要途径，突出抓好西江水水质科普宣传、提升建筑工地基坑水利用及再生水利用等事关民生福祉和城市品质提升的建议成果转化工作。</w:t>
      </w:r>
    </w:p>
    <w:p w14:paraId="42B7C50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（一）《关于加强西江水水质检测与科普宣传的建议》（第20250564号建议）</w:t>
      </w:r>
    </w:p>
    <w:p w14:paraId="1208AE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《关于加强西江水水质检测与科普宣传的建议》（第202</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号建议）</w:t>
      </w:r>
      <w:r>
        <w:rPr>
          <w:rFonts w:hint="eastAsia" w:ascii="仿宋_GB2312" w:hAnsi="仿宋_GB2312" w:eastAsia="仿宋_GB2312" w:cs="仿宋_GB2312"/>
          <w:b w:val="0"/>
          <w:bCs w:val="0"/>
          <w:color w:val="000000"/>
          <w:sz w:val="32"/>
          <w:szCs w:val="32"/>
          <w:lang w:val="en-US" w:eastAsia="zh-CN"/>
        </w:rPr>
        <w:t>建议</w:t>
      </w:r>
      <w:r>
        <w:rPr>
          <w:rFonts w:hint="eastAsia" w:ascii="仿宋_GB2312" w:hAnsi="仿宋_GB2312" w:eastAsia="仿宋_GB2312" w:cs="仿宋_GB2312"/>
          <w:b w:val="0"/>
          <w:sz w:val="32"/>
          <w:szCs w:val="32"/>
          <w:lang w:val="en-US" w:eastAsia="zh-CN"/>
        </w:rPr>
        <w:t>加大科普与宣传的范围和力度</w:t>
      </w:r>
      <w:r>
        <w:rPr>
          <w:rFonts w:hint="eastAsia" w:ascii="仿宋_GB2312" w:hAnsi="仿宋_GB2312" w:cs="仿宋_GB2312"/>
          <w:b w:val="0"/>
          <w:sz w:val="32"/>
          <w:szCs w:val="32"/>
          <w:lang w:val="en-US" w:eastAsia="zh-CN"/>
        </w:rPr>
        <w:t>，</w:t>
      </w:r>
      <w:r>
        <w:rPr>
          <w:rFonts w:hint="eastAsia" w:ascii="仿宋_GB2312" w:hAnsi="仿宋_GB2312" w:eastAsia="仿宋_GB2312" w:cs="仿宋_GB2312"/>
          <w:b w:val="0"/>
          <w:sz w:val="32"/>
          <w:szCs w:val="32"/>
          <w:lang w:val="en-US" w:eastAsia="zh-CN"/>
        </w:rPr>
        <w:t>加强</w:t>
      </w:r>
      <w:r>
        <w:rPr>
          <w:rFonts w:hint="eastAsia" w:ascii="仿宋_GB2312" w:hAnsi="仿宋_GB2312" w:eastAsia="仿宋_GB2312" w:cs="仿宋_GB2312"/>
          <w:b w:val="0"/>
          <w:bCs w:val="0"/>
          <w:color w:val="000000"/>
          <w:sz w:val="32"/>
          <w:szCs w:val="32"/>
          <w:lang w:val="en-US" w:eastAsia="zh-CN"/>
        </w:rPr>
        <w:t>水质检测的频次和公开度。针对以上建议，我</w:t>
      </w:r>
      <w:r>
        <w:rPr>
          <w:rFonts w:hint="eastAsia" w:ascii="仿宋_GB2312" w:hAnsi="仿宋_GB2312" w:cs="仿宋_GB2312"/>
          <w:b w:val="0"/>
          <w:bCs w:val="0"/>
          <w:color w:val="000000"/>
          <w:sz w:val="32"/>
          <w:szCs w:val="32"/>
          <w:lang w:val="en-US" w:eastAsia="zh-CN"/>
        </w:rPr>
        <w:t>局积极</w:t>
      </w:r>
      <w:r>
        <w:rPr>
          <w:rFonts w:hint="eastAsia" w:ascii="仿宋_GB2312" w:hAnsi="仿宋_GB2312" w:eastAsia="仿宋_GB2312" w:cs="仿宋_GB2312"/>
          <w:sz w:val="32"/>
          <w:szCs w:val="32"/>
          <w:lang w:eastAsia="zh-CN"/>
        </w:rPr>
        <w:t>采取相关举措，</w:t>
      </w:r>
      <w:r>
        <w:rPr>
          <w:rFonts w:hint="eastAsia" w:ascii="仿宋_GB2312" w:hAnsi="仿宋_GB2312" w:eastAsia="仿宋_GB2312" w:cs="仿宋_GB2312"/>
          <w:sz w:val="32"/>
          <w:szCs w:val="32"/>
        </w:rPr>
        <w:t>取得了显著的社会效果和积极的舆论导向</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bCs/>
          <w:color w:val="000000"/>
          <w:sz w:val="32"/>
          <w:szCs w:val="32"/>
          <w:lang w:val="en-US" w:eastAsia="zh-CN"/>
        </w:rPr>
        <w:t>一是</w:t>
      </w:r>
      <w:r>
        <w:rPr>
          <w:rFonts w:hint="eastAsia" w:ascii="仿宋_GB2312" w:hAnsi="仿宋_GB2312"/>
          <w:color w:val="000000"/>
        </w:rPr>
        <w:t>多维度创新科普宣传</w:t>
      </w:r>
      <w:r>
        <w:rPr>
          <w:rFonts w:hint="eastAsia" w:ascii="仿宋_GB2312" w:hAnsi="仿宋_GB2312"/>
          <w:color w:val="000000"/>
          <w:lang w:eastAsia="zh-CN"/>
        </w:rPr>
        <w:t>，</w:t>
      </w:r>
      <w:r>
        <w:rPr>
          <w:rFonts w:hint="eastAsia" w:ascii="仿宋_GB2312" w:hAnsi="仿宋_GB2312"/>
          <w:color w:val="000000"/>
        </w:rPr>
        <w:t>权威解读精准触达</w:t>
      </w:r>
      <w:r>
        <w:rPr>
          <w:rFonts w:hint="eastAsia" w:ascii="仿宋_GB2312" w:hAnsi="仿宋_GB2312"/>
          <w:color w:val="000000"/>
          <w:lang w:eastAsia="zh-CN"/>
        </w:rPr>
        <w:t>。我</w:t>
      </w:r>
      <w:r>
        <w:rPr>
          <w:rFonts w:hint="eastAsia" w:ascii="仿宋_GB2312" w:hAnsi="仿宋_GB2312"/>
          <w:color w:val="000000"/>
        </w:rPr>
        <w:t>局高度重视科普的广度与深度，联动市环水集团，开展多维度科普宣传，致力扭转公众“有水垢即水质差”的认知误区。</w:t>
      </w:r>
      <w:r>
        <w:rPr>
          <w:rFonts w:hint="eastAsia" w:ascii="仿宋_GB2312" w:hAnsi="仿宋_GB2312"/>
          <w:color w:val="000000"/>
          <w:lang w:val="en-US" w:eastAsia="zh-CN"/>
        </w:rPr>
        <w:t>通过</w:t>
      </w:r>
      <w:r>
        <w:rPr>
          <w:rFonts w:hint="eastAsia" w:ascii="仿宋_GB2312" w:hAnsi="仿宋_GB2312"/>
          <w:color w:val="000000"/>
        </w:rPr>
        <w:t>借力权威专家发声</w:t>
      </w:r>
      <w:r>
        <w:rPr>
          <w:rFonts w:hint="eastAsia" w:ascii="仿宋_GB2312" w:hAnsi="仿宋_GB2312"/>
          <w:color w:val="000000"/>
          <w:lang w:eastAsia="zh-CN"/>
        </w:rPr>
        <w:t>、</w:t>
      </w:r>
      <w:r>
        <w:rPr>
          <w:rFonts w:hint="eastAsia" w:ascii="仿宋_GB2312" w:hAnsi="仿宋_GB2312"/>
          <w:color w:val="000000"/>
        </w:rPr>
        <w:t>推动科普下沉社区</w:t>
      </w:r>
      <w:r>
        <w:rPr>
          <w:rFonts w:hint="eastAsia" w:ascii="仿宋_GB2312" w:hAnsi="仿宋_GB2312"/>
          <w:color w:val="000000"/>
          <w:lang w:eastAsia="zh-CN"/>
        </w:rPr>
        <w:t>、</w:t>
      </w:r>
      <w:r>
        <w:rPr>
          <w:rFonts w:hint="eastAsia" w:ascii="仿宋_GB2312" w:hAnsi="仿宋_GB2312"/>
          <w:color w:val="000000"/>
          <w:lang w:val="en-US" w:eastAsia="zh-CN"/>
        </w:rPr>
        <w:t>学校及开展立体化矩阵宣传等举措，</w:t>
      </w:r>
      <w:r>
        <w:rPr>
          <w:rFonts w:hint="eastAsia" w:ascii="仿宋_GB2312" w:hAnsi="仿宋_GB2312"/>
          <w:color w:val="000000"/>
        </w:rPr>
        <w:t>全面细致地回应了市民群众对水质的疑虑和关切，提升了其对西江水水垢的科学认知。</w:t>
      </w:r>
      <w:r>
        <w:rPr>
          <w:rFonts w:hint="eastAsia" w:ascii="仿宋_GB2312" w:hAnsi="仿宋_GB2312"/>
          <w:color w:val="000000"/>
          <w:lang w:val="en-US" w:eastAsia="zh-CN"/>
        </w:rPr>
        <w:t>如</w:t>
      </w:r>
      <w:r>
        <w:rPr>
          <w:rFonts w:hint="eastAsia" w:ascii="仿宋_GB2312" w:hAnsi="仿宋_GB2312"/>
          <w:color w:val="000000"/>
        </w:rPr>
        <w:t>2024年7月至8月，</w:t>
      </w:r>
      <w:r>
        <w:rPr>
          <w:rFonts w:hint="eastAsia" w:ascii="仿宋_GB2312" w:hAnsi="仿宋_GB2312"/>
          <w:color w:val="000000"/>
          <w:lang w:val="en-US" w:eastAsia="zh-CN"/>
        </w:rPr>
        <w:t>先后</w:t>
      </w:r>
      <w:r>
        <w:rPr>
          <w:rFonts w:hint="eastAsia" w:ascii="仿宋_GB2312" w:hAnsi="仿宋_GB2312"/>
          <w:color w:val="000000"/>
        </w:rPr>
        <w:t>邀请国内权威</w:t>
      </w:r>
      <w:r>
        <w:rPr>
          <w:rFonts w:hint="eastAsia" w:ascii="仿宋_GB2312" w:hAnsi="仿宋_GB2312"/>
          <w:color w:val="000000"/>
          <w:lang w:val="en-US" w:eastAsia="zh-CN"/>
        </w:rPr>
        <w:t>专家</w:t>
      </w:r>
      <w:r>
        <w:rPr>
          <w:rFonts w:hint="eastAsia" w:ascii="仿宋_GB2312" w:hAnsi="仿宋_GB2312"/>
          <w:color w:val="000000"/>
        </w:rPr>
        <w:t>，通过南方都市报、深圳新闻网等主流媒体发布专题文章和科普视频，科普水垢成因及其无害性，并组织深圳广电《第一现场》栏目，联合水处理专家与三甲医院泌尿科医生，共同驳斥“水垢致结石”的谣言，并提供医学佐证；2024年10月，深入宝安区沙井街道社区举办现场活动，让科普与市民“零距离”接触；西江水来深后，开展“走进光明湖”</w:t>
      </w:r>
      <w:r>
        <w:rPr>
          <w:rFonts w:hint="eastAsia" w:ascii="仿宋_GB2312" w:hAnsi="仿宋_GB2312"/>
          <w:color w:val="000000"/>
          <w:lang w:val="en-US" w:eastAsia="zh-CN"/>
        </w:rPr>
        <w:t>等</w:t>
      </w:r>
      <w:r>
        <w:rPr>
          <w:rFonts w:hint="eastAsia" w:ascii="仿宋_GB2312" w:hAnsi="仿宋_GB2312"/>
          <w:color w:val="000000"/>
        </w:rPr>
        <w:t>研学活动，向中小学生生动普及水资源知识，让其了解西江水的来之不易，培育节约用水意识；2025年7月，组织相关专家学者、媒体代表赴珠三角水资源配置工程调研，实地采访了解自来水处理工艺、现场水质检测结果、水垢产生的原因以及对日常生活的影响。人民网、澎湃新闻等27家主流媒体平台进行正面报道，深圳发布、各区融媒相继发布《西江水供深一年了，这些水知识你知道吗？》《为何有水垢，安全吗？讲清楚了》等科普文章，全网共发布320余篇（次），阅读量超100万次，形成集中宣传阵势。</w:t>
      </w:r>
      <w:r>
        <w:rPr>
          <w:rFonts w:hint="eastAsia" w:ascii="仿宋_GB2312" w:hAnsi="仿宋_GB2312"/>
          <w:b/>
          <w:bCs/>
          <w:color w:val="000000"/>
          <w:lang w:val="en-US" w:eastAsia="zh-CN"/>
        </w:rPr>
        <w:t>二是</w:t>
      </w:r>
      <w:r>
        <w:rPr>
          <w:rFonts w:hint="eastAsia" w:ascii="仿宋_GB2312" w:hAnsi="仿宋_GB2312"/>
          <w:b w:val="0"/>
          <w:bCs w:val="0"/>
          <w:color w:val="000000"/>
        </w:rPr>
        <w:t>系统性加密水质监测频次，数据公开透明化</w:t>
      </w:r>
      <w:r>
        <w:rPr>
          <w:rFonts w:hint="eastAsia" w:ascii="仿宋_GB2312" w:hAnsi="仿宋_GB2312"/>
          <w:b w:val="0"/>
          <w:bCs w:val="0"/>
          <w:color w:val="000000"/>
          <w:lang w:eastAsia="zh-CN"/>
        </w:rPr>
        <w:t>。</w:t>
      </w:r>
      <w:r>
        <w:rPr>
          <w:rFonts w:hint="eastAsia" w:ascii="仿宋_GB2312" w:hAnsi="仿宋_GB2312"/>
          <w:b w:val="0"/>
          <w:bCs w:val="0"/>
          <w:color w:val="000000"/>
        </w:rPr>
        <w:t>自引入西江水后，</w:t>
      </w:r>
      <w:r>
        <w:rPr>
          <w:rFonts w:hint="eastAsia" w:ascii="仿宋_GB2312" w:hAnsi="仿宋_GB2312"/>
          <w:b w:val="0"/>
          <w:bCs w:val="0"/>
          <w:color w:val="000000"/>
          <w:lang w:eastAsia="zh-CN"/>
        </w:rPr>
        <w:t>我</w:t>
      </w:r>
      <w:r>
        <w:rPr>
          <w:rFonts w:hint="eastAsia" w:ascii="仿宋_GB2312" w:hAnsi="仿宋_GB2312"/>
          <w:b w:val="0"/>
          <w:bCs w:val="0"/>
          <w:color w:val="000000"/>
        </w:rPr>
        <w:t>局持续关注西江水水质，加强对西江水的水质检测，定期全面评估西江水水质状况以及对接纳水库和自来水厂的影响。自2024年1月起，对西江交水点、罗田水库、公明水库、石岩水库等4个地表水源地和以西江水作为水源的9座自来水厂开展月度水质人工检测，相关水质检测结果均在我局官方网站进行公示。积极与粤海供水公司协调，自2024年6月起实时共享其上游高新沙水库的在线监测数据（包括高锰酸盐指数、总磷、总氮等），构建了从源头到龙头的全方位、多节点监测体系。定期评估水质变化情况，每季度对水库及水厂接收西江水前后的水质变化情况进行一次分析。分析结果显示，罗田水库、公明水库、石岩水库引入西江水后，水库水质无明显变化；以西江水作为水源的9座水厂，出厂水水质均满足国家标准（≤450mg/L）和深圳地方标准（≤250mg/L）。</w:t>
      </w:r>
    </w:p>
    <w:p w14:paraId="04A0A4E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rPr>
        <w:t>关于</w:t>
      </w:r>
      <w:r>
        <w:rPr>
          <w:rFonts w:hint="eastAsia" w:ascii="楷体_GB2312" w:hAnsi="楷体_GB2312" w:eastAsia="楷体_GB2312" w:cs="楷体_GB2312"/>
          <w:b w:val="0"/>
          <w:bCs w:val="0"/>
          <w:color w:val="000000"/>
          <w:sz w:val="32"/>
          <w:szCs w:val="32"/>
          <w:lang w:val="en-US" w:eastAsia="zh-CN"/>
        </w:rPr>
        <w:t>加快推进再生水利用</w:t>
      </w:r>
      <w:r>
        <w:rPr>
          <w:rFonts w:hint="eastAsia" w:ascii="楷体_GB2312" w:hAnsi="楷体_GB2312" w:eastAsia="楷体_GB2312" w:cs="楷体_GB2312"/>
          <w:b w:val="0"/>
          <w:bCs w:val="0"/>
          <w:color w:val="000000"/>
          <w:sz w:val="32"/>
          <w:szCs w:val="32"/>
        </w:rPr>
        <w:t>的建议》（第</w:t>
      </w:r>
      <w:r>
        <w:rPr>
          <w:rFonts w:hint="eastAsia" w:ascii="楷体_GB2312" w:hAnsi="楷体_GB2312" w:eastAsia="楷体_GB2312" w:cs="楷体_GB2312"/>
          <w:b w:val="0"/>
          <w:bCs w:val="0"/>
          <w:color w:val="000000"/>
          <w:sz w:val="32"/>
          <w:szCs w:val="32"/>
          <w:lang w:val="en-US" w:eastAsia="zh-CN"/>
        </w:rPr>
        <w:t>20250476</w:t>
      </w:r>
      <w:r>
        <w:rPr>
          <w:rFonts w:hint="eastAsia" w:ascii="楷体_GB2312" w:hAnsi="楷体_GB2312" w:eastAsia="楷体_GB2312" w:cs="楷体_GB2312"/>
          <w:b w:val="0"/>
          <w:bCs w:val="0"/>
          <w:color w:val="000000"/>
          <w:sz w:val="32"/>
          <w:szCs w:val="32"/>
        </w:rPr>
        <w:t>号</w:t>
      </w:r>
      <w:r>
        <w:rPr>
          <w:rFonts w:hint="eastAsia" w:ascii="楷体_GB2312" w:hAnsi="楷体_GB2312" w:eastAsia="楷体_GB2312" w:cs="楷体_GB2312"/>
          <w:b w:val="0"/>
          <w:bCs w:val="0"/>
          <w:color w:val="000000"/>
          <w:sz w:val="32"/>
          <w:szCs w:val="32"/>
          <w:lang w:val="en-US" w:eastAsia="zh-CN"/>
        </w:rPr>
        <w:t>建议</w:t>
      </w:r>
      <w:r>
        <w:rPr>
          <w:rFonts w:hint="eastAsia" w:ascii="楷体_GB2312" w:hAnsi="楷体_GB2312" w:eastAsia="楷体_GB2312" w:cs="楷体_GB2312"/>
          <w:b w:val="0"/>
          <w:bCs w:val="0"/>
          <w:color w:val="000000"/>
          <w:sz w:val="32"/>
          <w:szCs w:val="32"/>
        </w:rPr>
        <w:t>）</w:t>
      </w:r>
    </w:p>
    <w:p w14:paraId="570187E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default" w:ascii="仿宋_GB2312" w:eastAsia="仿宋_GB2312" w:cs="仿宋_GB2312"/>
          <w:b w:val="0"/>
          <w:bCs w:val="0"/>
          <w:color w:val="000000"/>
          <w:sz w:val="31"/>
          <w:szCs w:val="31"/>
          <w:lang w:val="en-US" w:eastAsia="zh-CN"/>
        </w:rPr>
      </w:pPr>
      <w:r>
        <w:rPr>
          <w:rFonts w:hint="eastAsia" w:ascii="仿宋_GB2312" w:eastAsia="仿宋_GB2312" w:cs="仿宋_GB2312"/>
          <w:color w:val="000000"/>
          <w:sz w:val="31"/>
          <w:szCs w:val="31"/>
        </w:rPr>
        <w:t>《关于加快推进再生水利用的建议》（第 20250476号建议）建议加强全过程监管及公众参与、建立安全保障体系、优化车载取水点布局、增设取水点停车位及调蓄池、健全激励奖励机制等。针对以上建议，我局牵头联合市直相关部门专题研究、协同推进，将建议核心诉求转化为以下工作成效。一是构建全链条监管体系。推动《深圳市污水资源化利用行动方案》于2024年经市政府审议通过并印发实施，明确市、区水务部门监管职责及再生水供应企业主体责任，重点厘清再生水水量保障、水质管控、水压稳定等环节责任边界。目前已建立常态化监管机制，由市、区水务部门定期对全市水质净化厂出水水质开展抽样检测，确保再生水水质全面符合国家回用标准。二是拓宽利用渠道与优化设施布局。从河道生态补水为主进一步拓宽至城市杂用、工业利用领域，并核减具备使用再生水条件但未有效利用的单位用户（含工业企业、公共机构、政府机构）的常规水源用水计划。截至2024年底，我市已建成170个再生水车载取水点，实现90%以上市政道路冲洗及附属绿地浇洒使用再生水；再生水替代常规水量达5200万立方米/年，其中市政杂用2700万立方米/年，工业利用2500万立方米/年。三是深化科普宣传与公众参与。创新宣传载体，在京基100、深圳湾一号等地标建筑物外立面展示“城市再生水，让每一滴水都有价值”标语；选取12路公交线路打造首批节水主题公交，将再生水宣传与绿色出行相结合；累计举办再生水专题宣传活动15场，组织志愿者近100人次参与，直接覆盖群众超3500人次，有效提升公众对再生水利用的认知度与接受度。</w:t>
      </w:r>
    </w:p>
    <w:p w14:paraId="0365902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rPr>
        <w:t>关于加强饮用水节约和建筑工地基坑水利用的建议》（第</w:t>
      </w:r>
      <w:r>
        <w:rPr>
          <w:rFonts w:hint="eastAsia" w:ascii="楷体_GB2312" w:hAnsi="楷体_GB2312" w:eastAsia="楷体_GB2312" w:cs="楷体_GB2312"/>
          <w:b w:val="0"/>
          <w:bCs w:val="0"/>
          <w:color w:val="000000"/>
          <w:sz w:val="32"/>
          <w:szCs w:val="32"/>
          <w:lang w:val="en-US" w:eastAsia="zh-CN"/>
        </w:rPr>
        <w:t>20250249</w:t>
      </w:r>
      <w:r>
        <w:rPr>
          <w:rFonts w:hint="eastAsia" w:ascii="楷体_GB2312" w:hAnsi="楷体_GB2312" w:eastAsia="楷体_GB2312" w:cs="楷体_GB2312"/>
          <w:b w:val="0"/>
          <w:bCs w:val="0"/>
          <w:color w:val="000000"/>
          <w:sz w:val="32"/>
          <w:szCs w:val="32"/>
        </w:rPr>
        <w:t>号</w:t>
      </w:r>
      <w:r>
        <w:rPr>
          <w:rFonts w:hint="eastAsia" w:ascii="楷体_GB2312" w:hAnsi="楷体_GB2312" w:eastAsia="楷体_GB2312" w:cs="楷体_GB2312"/>
          <w:b w:val="0"/>
          <w:bCs w:val="0"/>
          <w:color w:val="000000"/>
          <w:sz w:val="32"/>
          <w:szCs w:val="32"/>
          <w:lang w:val="en-US" w:eastAsia="zh-CN"/>
        </w:rPr>
        <w:t>建议</w:t>
      </w:r>
      <w:r>
        <w:rPr>
          <w:rFonts w:hint="eastAsia" w:ascii="楷体_GB2312" w:hAnsi="楷体_GB2312" w:eastAsia="楷体_GB2312" w:cs="楷体_GB2312"/>
          <w:b w:val="0"/>
          <w:bCs w:val="0"/>
          <w:color w:val="000000"/>
          <w:sz w:val="32"/>
          <w:szCs w:val="32"/>
        </w:rPr>
        <w:t>）</w:t>
      </w:r>
    </w:p>
    <w:p w14:paraId="34C6E959">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textAlignment w:val="auto"/>
        <w:rPr>
          <w:rFonts w:hint="default" w:ascii="仿宋_GB2312" w:eastAsia="仿宋_GB2312" w:cs="仿宋_GB2312"/>
          <w:b w:val="0"/>
          <w:bCs w:val="0"/>
          <w:color w:val="000000"/>
          <w:sz w:val="31"/>
          <w:szCs w:val="31"/>
          <w:lang w:val="en-US" w:eastAsia="zh-CN"/>
        </w:rPr>
      </w:pPr>
      <w:r>
        <w:rPr>
          <w:rFonts w:hint="eastAsia" w:ascii="仿宋_GB2312" w:eastAsia="仿宋_GB2312" w:cs="仿宋_GB2312"/>
          <w:color w:val="000000"/>
          <w:sz w:val="31"/>
          <w:szCs w:val="31"/>
        </w:rPr>
        <w:t>《关于加强饮用水节约和建筑工地基坑水利用的建议》（第20250249号建议）建议加强我市节约用水工作，提高建筑工地基坑水循环利用率。针对以上建议，我局联合市直相关部门积极推进节约用水工作，并探索建筑工地基坑水回用及智慧管理调度。一是开展节水载体标准化建设。制定地方标准《节水载体评价规范》，会同市教育、工信、住建、商务、文旅、卫健、城管、机关事务管理等部门指导各领域用水单位开展节水载体标准化建设以及节水标杆遴选工作，TCL华星光电技术有限公司等11家工业企业建成省级节水标杆企业；福田区机关事务管理局、萨米医疗中心、深圳海关、龙华区实验学校教育集团等4家单位获评国家2024-2026年度“公共机构水效领跑者”称号，树立了一批节水标杆。二是全面推广使用节水型工艺、设备、器具等，不断提高节水效能。我局联合市住建、市监部门连续19年开展节水型工艺、设备、器具名录遴选，累计向社会发布700余项产品，涵盖节水器具、智慧节水、园林节水、污水再生利用、建筑工地黄泥水处理回用等领域；优选智慧移动厕所系统、建筑数字共享工地节水技术、管道检测机器人、电子行业循环利用减排实践等4个案例入选2025广东十大节水典型案例。三是鼓励工地基坑水处理及循环利用系统建设，探索工地基坑黄泥水、冲洗废水循环再生利用，其中智慧黄泥水净化回用一体机等建筑工地基坑黄泥水处理设备入选《深圳市2024年度节水型工艺（技术）、设备、器具名录（总第十九期）》。目前我市已有144个项目安装基坑水、冲洗废水、黄泥水的泥水分离设施，沉淀过滤后的水用于冲洗车辆、喷洒路面等。四是积极探索建筑工地基坑水回用及智慧管理调度，在福田区万云大厦、南山区OPPO国际总部项目建筑工地、龙岗区深惠城际2标（五和-坪地）土建五工区龙城站万象天成工段等多个建筑工地启用建筑数字共享工地节水技术。该技术通过黄泥水净化技术使废水处理后达到城市杂用标准，实现日均再生水产量近500吨。该技术借助大数据平台构建“处理-监督-储运-调度”一体化管理模式，同步降低建筑工地自来水消耗与排污支出，形成“节水减污-降本增效”双重闭环。建筑数字共享工地节水技术已入选2025广东十大节水典型案例，相关经验做法为全省各地各领域节水工作树立了标杆。</w:t>
      </w:r>
    </w:p>
    <w:p w14:paraId="63A27548">
      <w:pPr>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四、下一步工作举措</w:t>
      </w:r>
    </w:p>
    <w:p w14:paraId="5BDC8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下一步，我局将按照市人大代表建议办理工作配套制度有关要求继续做好建议办理工作。</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b w:val="0"/>
          <w:bCs w:val="0"/>
          <w:color w:val="000000"/>
          <w:sz w:val="32"/>
          <w:szCs w:val="32"/>
        </w:rPr>
        <w:t>做好成果转化。把人大代表建议与水务重点工作紧密结合，将其转化为具体举措和工作成效，助力经济社会高质量发展。</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b w:val="0"/>
          <w:bCs w:val="0"/>
          <w:color w:val="000000"/>
          <w:sz w:val="32"/>
          <w:szCs w:val="32"/>
        </w:rPr>
        <w:t>加强人员培训。组织人大代表建议办理工作人员开展学习培训，提升业务能力，确保建议办理更加规范高效。</w:t>
      </w:r>
      <w:r>
        <w:rPr>
          <w:rFonts w:hint="eastAsia" w:ascii="仿宋_GB2312" w:hAnsi="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是</w:t>
      </w:r>
      <w:r>
        <w:rPr>
          <w:rFonts w:hint="eastAsia" w:ascii="仿宋_GB2312" w:hAnsi="仿宋_GB2312" w:eastAsia="仿宋_GB2312" w:cs="仿宋_GB2312"/>
          <w:b w:val="0"/>
          <w:bCs w:val="0"/>
          <w:color w:val="000000"/>
          <w:sz w:val="32"/>
          <w:szCs w:val="32"/>
        </w:rPr>
        <w:t>加强宣传报道。采取多种方式宣传建议成果转化工作，强化典型引领，提升公众满意度。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AEDA2-C8D4-4EB2-AD4D-6C22A62554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74089B1-3C4E-45E3-9F07-98920FAB2CBD}"/>
  </w:font>
  <w:font w:name="方正小标宋_GBK">
    <w:panose1 w:val="02000000000000000000"/>
    <w:charset w:val="86"/>
    <w:family w:val="auto"/>
    <w:pitch w:val="default"/>
    <w:sig w:usb0="A00002BF" w:usb1="38CF7CFA" w:usb2="00082016" w:usb3="00000000" w:csb0="00040001" w:csb1="00000000"/>
    <w:embedRegular r:id="rId3" w:fontKey="{1F7D528F-770D-4D18-9C5D-BA3D01BA4D71}"/>
  </w:font>
  <w:font w:name="楷体_GB2312">
    <w:panose1 w:val="02010609030101010101"/>
    <w:charset w:val="86"/>
    <w:family w:val="auto"/>
    <w:pitch w:val="default"/>
    <w:sig w:usb0="00000001" w:usb1="080E0000" w:usb2="00000000" w:usb3="00000000" w:csb0="00040000" w:csb1="00000000"/>
    <w:embedRegular r:id="rId4" w:fontKey="{112011B6-3C13-45C2-A96D-3B1E3939F7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B2541"/>
    <w:rsid w:val="0C1B3D66"/>
    <w:rsid w:val="110A5178"/>
    <w:rsid w:val="11FA7F03"/>
    <w:rsid w:val="120A4746"/>
    <w:rsid w:val="18F91E55"/>
    <w:rsid w:val="18FB0A7D"/>
    <w:rsid w:val="1B7F4420"/>
    <w:rsid w:val="1E7F21D8"/>
    <w:rsid w:val="1F5D6887"/>
    <w:rsid w:val="1F7B273D"/>
    <w:rsid w:val="22842216"/>
    <w:rsid w:val="29AC04B0"/>
    <w:rsid w:val="342F79B9"/>
    <w:rsid w:val="3B2D2898"/>
    <w:rsid w:val="48A06D34"/>
    <w:rsid w:val="48B53703"/>
    <w:rsid w:val="53EF7E41"/>
    <w:rsid w:val="549F52E8"/>
    <w:rsid w:val="54B1755A"/>
    <w:rsid w:val="578D3684"/>
    <w:rsid w:val="5D9B6CC5"/>
    <w:rsid w:val="5E2F49B4"/>
    <w:rsid w:val="5F424B41"/>
    <w:rsid w:val="63260E3F"/>
    <w:rsid w:val="6B2A3374"/>
    <w:rsid w:val="7070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color w:val="auto"/>
      <w:kern w:val="2"/>
      <w:sz w:val="32"/>
      <w:szCs w:val="32"/>
      <w:lang w:val="en-US" w:eastAsia="zh-CN" w:bidi="ar-SA"/>
    </w:rPr>
  </w:style>
  <w:style w:type="paragraph" w:styleId="2">
    <w:name w:val="heading 1"/>
    <w:basedOn w:val="1"/>
    <w:next w:val="1"/>
    <w:link w:val="10"/>
    <w:qFormat/>
    <w:uiPriority w:val="0"/>
    <w:pPr>
      <w:keepNext/>
      <w:keepLines/>
      <w:spacing w:before="340" w:after="330" w:line="560" w:lineRule="exact"/>
      <w:ind w:left="0" w:leftChars="0" w:firstLine="0" w:firstLineChars="0"/>
      <w:jc w:val="center"/>
      <w:outlineLvl w:val="0"/>
    </w:pPr>
    <w:rPr>
      <w:rFonts w:ascii="Times New Roman" w:hAnsi="Times New Roman" w:eastAsia="黑体" w:cs="Times New Roman"/>
      <w:b/>
      <w:bCs/>
      <w:kern w:val="44"/>
      <w:sz w:val="32"/>
      <w:szCs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420" w:firstLineChars="200"/>
      <w:jc w:val="left"/>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0"/>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标题 1 Char"/>
    <w:link w:val="2"/>
    <w:qFormat/>
    <w:uiPriority w:val="0"/>
    <w:rPr>
      <w:rFonts w:ascii="Times New Roman" w:hAnsi="Times New Roman" w:eastAsia="黑体" w:cs="Times New Roman"/>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870</Words>
  <Characters>888</Characters>
  <Lines>0</Lines>
  <Paragraphs>0</Paragraphs>
  <TotalTime>175</TotalTime>
  <ScaleCrop>false</ScaleCrop>
  <LinksUpToDate>false</LinksUpToDate>
  <CharactersWithSpaces>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2021-06-08T13:23:00Z</dcterms:created>
  <dc:creator>yanghaiwen</dc:creator>
  <cp:lastModifiedBy>小金</cp:lastModifiedBy>
  <dcterms:modified xsi:type="dcterms:W3CDTF">2025-11-20T02:15:55Z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FD7EF339AE9F433795F835C45A0D51CD_13</vt:lpwstr>
  </property>
  <property fmtid="{D5CDD505-2E9C-101B-9397-08002B2CF9AE}" pid="4" name="KSOTemplateDocerSaveRecord">
    <vt:lpwstr>eyJoZGlkIjoiYTcyODEwOGZiN2VmOTUxZWE0YWZmMjU3OGYyNjIyZDAiLCJ1c2VySWQiOiIxMTc1MTE3ODQyIn0=</vt:lpwstr>
  </property>
</Properties>
</file>