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E8790">
      <w:pPr>
        <w:keepNext w:val="0"/>
        <w:keepLines w:val="0"/>
        <w:widowControl w:val="0"/>
        <w:suppressLineNumbers w:val="0"/>
        <w:spacing w:before="0" w:beforeAutospacing="0" w:after="0" w:afterAutospacing="0" w:line="560" w:lineRule="exact"/>
        <w:ind w:left="0" w:right="0"/>
        <w:jc w:val="right"/>
        <w:rPr>
          <w:rFonts w:hint="eastAsia" w:ascii="黑体" w:hAnsi="宋体" w:eastAsia="黑体" w:cs="黑体"/>
          <w:kern w:val="2"/>
          <w:sz w:val="28"/>
          <w:szCs w:val="28"/>
          <w:bdr w:val="single" w:sz="0" w:space="0"/>
          <w:lang w:val="en-US" w:eastAsia="zh-CN" w:bidi="ar"/>
        </w:rPr>
      </w:pPr>
      <w:bookmarkStart w:id="5" w:name="_GoBack"/>
      <w:bookmarkEnd w:id="5"/>
    </w:p>
    <w:p w14:paraId="25D6963B">
      <w:pPr>
        <w:keepNext w:val="0"/>
        <w:keepLines w:val="0"/>
        <w:widowControl w:val="0"/>
        <w:suppressLineNumbers w:val="0"/>
        <w:spacing w:before="0" w:beforeAutospacing="0" w:after="0" w:afterAutospacing="0" w:line="560" w:lineRule="exact"/>
        <w:ind w:left="0" w:right="0"/>
        <w:jc w:val="right"/>
        <w:rPr>
          <w:rFonts w:hint="eastAsia" w:ascii="黑体" w:hAnsi="宋体" w:eastAsia="黑体" w:cs="黑体"/>
          <w:kern w:val="2"/>
          <w:sz w:val="28"/>
          <w:szCs w:val="28"/>
        </w:rPr>
      </w:pPr>
      <mc:AlternateContent>
        <mc:Choice Requires="wpsCustomData">
          <wpsCustomData:docfieldStart id="0" docfieldname="Content" hidden="0" print="1" readonly="0" index="1"/>
        </mc:Choice>
      </mc:AlternateContent>
      <w:r>
        <w:rPr>
          <w:rFonts w:hint="eastAsia" w:ascii="黑体" w:hAnsi="宋体" w:eastAsia="黑体" w:cs="黑体"/>
          <w:kern w:val="2"/>
          <w:sz w:val="28"/>
          <w:szCs w:val="28"/>
          <w:bdr w:val="single" w:sz="0" w:space="0"/>
          <w:lang w:val="en-US" w:eastAsia="zh-CN" w:bidi="ar"/>
        </w:rPr>
        <w:t>A</w:t>
      </w:r>
      <w:r>
        <w:rPr>
          <w:rFonts w:hint="eastAsia" w:ascii="黑体" w:hAnsi="Times New Roman" w:eastAsia="黑体" w:cs="黑体"/>
          <w:kern w:val="2"/>
          <w:sz w:val="28"/>
          <w:szCs w:val="28"/>
          <w:lang w:val="en-US" w:eastAsia="zh-CN" w:bidi="ar"/>
        </w:rPr>
        <w:t>类 公开方式：公开</w:t>
      </w:r>
    </w:p>
    <w:p w14:paraId="6D23775C">
      <w:pPr>
        <w:keepNext w:val="0"/>
        <w:keepLines w:val="0"/>
        <w:widowControl w:val="0"/>
        <w:suppressLineNumbers w:val="0"/>
        <w:spacing w:before="0" w:beforeAutospacing="0" w:after="0" w:afterAutospacing="0" w:line="560" w:lineRule="exact"/>
        <w:ind w:left="0" w:right="0"/>
        <w:jc w:val="center"/>
        <w:outlineLvl w:val="0"/>
        <w:rPr>
          <w:rFonts w:hint="eastAsia" w:ascii="方正小标宋_GBK" w:hAnsi="方正小标宋_GBK" w:eastAsia="方正小标宋_GBK" w:cs="方正小标宋_GBK"/>
          <w:kern w:val="2"/>
          <w:sz w:val="44"/>
          <w:szCs w:val="44"/>
          <w:lang w:val="en-US" w:eastAsia="zh-CN" w:bidi="ar"/>
        </w:rPr>
      </w:pPr>
    </w:p>
    <w:p w14:paraId="320E632B">
      <w:pPr>
        <w:keepNext w:val="0"/>
        <w:keepLines w:val="0"/>
        <w:widowControl w:val="0"/>
        <w:suppressLineNumbers w:val="0"/>
        <w:spacing w:before="0" w:beforeAutospacing="0" w:after="0" w:afterAutospacing="0" w:line="560" w:lineRule="exact"/>
        <w:ind w:left="0" w:right="0"/>
        <w:jc w:val="center"/>
        <w:outlineLvl w:val="0"/>
        <w:rPr>
          <w:rFonts w:hint="eastAsia" w:ascii="方正小标宋_GBK" w:hAnsi="方正小标宋_GBK" w:eastAsia="方正小标宋_GBK" w:cs="方正小标宋_GBK"/>
          <w:color w:val="000000"/>
          <w:kern w:val="2"/>
          <w:sz w:val="44"/>
          <w:szCs w:val="44"/>
        </w:rPr>
      </w:pPr>
      <w:r>
        <w:rPr>
          <w:rFonts w:hint="eastAsia" w:ascii="方正小标宋_GBK" w:hAnsi="方正小标宋_GBK" w:eastAsia="方正小标宋_GBK" w:cs="方正小标宋_GBK"/>
          <w:kern w:val="2"/>
          <w:sz w:val="44"/>
          <w:szCs w:val="44"/>
          <w:lang w:val="en-US" w:eastAsia="zh-CN" w:bidi="ar"/>
        </w:rPr>
        <w:t>深圳市水务局</w:t>
      </w:r>
      <w:r>
        <w:rPr>
          <w:rFonts w:hint="eastAsia" w:ascii="方正小标宋_GBK" w:hAnsi="方正小标宋_GBK" w:eastAsia="方正小标宋_GBK" w:cs="方正小标宋_GBK"/>
          <w:color w:val="000000"/>
          <w:kern w:val="2"/>
          <w:sz w:val="44"/>
          <w:szCs w:val="44"/>
          <w:lang w:val="en-US" w:eastAsia="zh-CN" w:bidi="ar"/>
        </w:rPr>
        <w:t>关于市人大七届六次会议</w:t>
      </w:r>
    </w:p>
    <w:p w14:paraId="72C4FDD0">
      <w:pPr>
        <w:keepNext w:val="0"/>
        <w:keepLines w:val="0"/>
        <w:widowControl w:val="0"/>
        <w:suppressLineNumbers w:val="0"/>
        <w:spacing w:before="0" w:beforeAutospacing="0" w:after="0" w:afterAutospacing="0" w:line="560" w:lineRule="exact"/>
        <w:ind w:left="0" w:right="0"/>
        <w:jc w:val="center"/>
        <w:outlineLvl w:val="0"/>
        <w:rPr>
          <w:rFonts w:hint="eastAsia" w:ascii="方正小标宋_GBK" w:hAnsi="方正小标宋_GBK" w:eastAsia="方正小标宋_GBK" w:cs="方正小标宋_GBK"/>
          <w:color w:val="FF0000"/>
          <w:kern w:val="2"/>
          <w:sz w:val="44"/>
          <w:szCs w:val="44"/>
        </w:rPr>
      </w:pPr>
      <w:r>
        <w:rPr>
          <w:rFonts w:hint="eastAsia" w:ascii="方正小标宋_GBK" w:hAnsi="方正小标宋_GBK" w:eastAsia="方正小标宋_GBK" w:cs="方正小标宋_GBK"/>
          <w:color w:val="000000"/>
          <w:kern w:val="2"/>
          <w:sz w:val="44"/>
          <w:szCs w:val="44"/>
          <w:lang w:val="en-US" w:eastAsia="zh-CN" w:bidi="ar"/>
        </w:rPr>
        <w:t>第20250249号建议答复的函</w:t>
      </w:r>
    </w:p>
    <w:p w14:paraId="02A3E9E8">
      <w:pPr>
        <w:keepNext w:val="0"/>
        <w:keepLines w:val="0"/>
        <w:widowControl w:val="0"/>
        <w:suppressLineNumbers w:val="0"/>
        <w:spacing w:before="0" w:beforeAutospacing="0" w:after="0" w:afterAutospacing="0" w:line="560" w:lineRule="exact"/>
        <w:ind w:left="0" w:right="0"/>
        <w:jc w:val="both"/>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bidi="ar"/>
        </w:rPr>
        <w:t xml:space="preserve"> </w:t>
      </w:r>
    </w:p>
    <w:p w14:paraId="253BA6B0">
      <w:pPr>
        <w:keepNext w:val="0"/>
        <w:keepLines w:val="0"/>
        <w:widowControl w:val="0"/>
        <w:suppressLineNumbers w:val="0"/>
        <w:spacing w:before="0" w:beforeAutospacing="0" w:after="0" w:afterAutospacing="0" w:line="560" w:lineRule="exact"/>
        <w:ind w:left="0" w:right="0"/>
        <w:jc w:val="both"/>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李继朝等代表：</w:t>
      </w:r>
    </w:p>
    <w:p w14:paraId="2A36AA0D">
      <w:pPr>
        <w:keepNext w:val="0"/>
        <w:keepLines w:val="0"/>
        <w:widowControl w:val="0"/>
        <w:suppressLineNumbers w:val="0"/>
        <w:spacing w:before="0" w:beforeAutospacing="0" w:after="0" w:afterAutospacing="0" w:line="560" w:lineRule="exact"/>
        <w:ind w:left="0" w:right="0" w:firstLine="645"/>
        <w:jc w:val="both"/>
        <w:rPr>
          <w:rFonts w:hint="eastAsia" w:ascii="仿宋_GB2312" w:hAnsi="Times New Roman" w:eastAsia="仿宋_GB2312" w:cs="Times New Roman"/>
          <w:kern w:val="2"/>
          <w:sz w:val="32"/>
          <w:szCs w:val="32"/>
        </w:rPr>
      </w:pPr>
      <w:r>
        <w:rPr>
          <w:rFonts w:hint="default" w:ascii="仿宋_GB2312" w:eastAsia="仿宋_GB2312" w:cs="仿宋_GB2312"/>
          <w:kern w:val="2"/>
          <w:sz w:val="32"/>
          <w:szCs w:val="32"/>
          <w:lang w:eastAsia="zh-CN" w:bidi="ar"/>
        </w:rPr>
        <w:t>你</w:t>
      </w:r>
      <w:r>
        <w:rPr>
          <w:rFonts w:hint="eastAsia" w:ascii="仿宋_GB2312" w:hAnsi="Times New Roman" w:eastAsia="仿宋_GB2312" w:cs="仿宋_GB2312"/>
          <w:kern w:val="2"/>
          <w:sz w:val="32"/>
          <w:szCs w:val="32"/>
          <w:lang w:val="en-US" w:eastAsia="zh-CN" w:bidi="ar"/>
        </w:rPr>
        <w:t>们提出的《关于加强饮用水节约和建筑工地基坑水利用的建议》（第20250249号）收悉。</w:t>
      </w:r>
      <w:r>
        <w:rPr>
          <w:rFonts w:hint="default" w:ascii="仿宋_GB2312" w:eastAsia="仿宋_GB2312" w:cs="仿宋_GB2312"/>
          <w:kern w:val="2"/>
          <w:sz w:val="32"/>
          <w:szCs w:val="32"/>
          <w:lang w:eastAsia="zh-CN" w:bidi="ar"/>
        </w:rPr>
        <w:t>经研究，</w:t>
      </w:r>
      <w:r>
        <w:rPr>
          <w:rFonts w:hint="eastAsia" w:ascii="仿宋_GB2312" w:hAnsi="Times New Roman" w:eastAsia="仿宋_GB2312" w:cs="仿宋_GB2312"/>
          <w:kern w:val="2"/>
          <w:sz w:val="32"/>
          <w:szCs w:val="32"/>
          <w:lang w:val="en-US" w:eastAsia="zh-CN" w:bidi="ar"/>
        </w:rPr>
        <w:t>答复如下：</w:t>
      </w:r>
    </w:p>
    <w:p w14:paraId="37B00D8C">
      <w:pPr>
        <w:keepNext w:val="0"/>
        <w:keepLines w:val="0"/>
        <w:widowControl w:val="0"/>
        <w:suppressLineNumbers w:val="0"/>
        <w:spacing w:before="0" w:beforeAutospacing="0" w:after="0" w:afterAutospacing="0" w:line="560" w:lineRule="exact"/>
        <w:ind w:left="0" w:right="0" w:firstLine="645"/>
        <w:jc w:val="both"/>
        <w:outlineLvl w:val="0"/>
        <w:rPr>
          <w:rFonts w:hint="eastAsia" w:ascii="仿宋_GB2312" w:hAnsi="Times New Roman" w:eastAsia="仿宋_GB2312" w:cs="仿宋_GB2312"/>
          <w:kern w:val="2"/>
          <w:sz w:val="32"/>
          <w:szCs w:val="32"/>
        </w:rPr>
      </w:pPr>
      <w:r>
        <w:rPr>
          <w:rFonts w:hint="eastAsia" w:ascii="黑体" w:hAnsi="宋体" w:eastAsia="黑体" w:cs="黑体"/>
          <w:kern w:val="2"/>
          <w:sz w:val="32"/>
          <w:szCs w:val="32"/>
          <w:lang w:val="en-US" w:eastAsia="zh-CN" w:bidi="ar"/>
        </w:rPr>
        <w:t>一、办理过程</w:t>
      </w:r>
    </w:p>
    <w:p w14:paraId="2B64DF39">
      <w:pPr>
        <w:keepNext w:val="0"/>
        <w:keepLines w:val="0"/>
        <w:widowControl w:val="0"/>
        <w:suppressLineNumbers w:val="0"/>
        <w:spacing w:before="0" w:beforeAutospacing="0" w:after="0" w:afterAutospacing="0" w:line="560" w:lineRule="exact"/>
        <w:ind w:left="0" w:right="0" w:firstLine="645"/>
        <w:jc w:val="both"/>
        <w:rPr>
          <w:rFonts w:hint="eastAsia" w:ascii="仿宋_GB2312"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为响应代表建议，加强我市节约用水工作，提高建筑工地基坑水循环利用率，我局</w:t>
      </w:r>
      <w:r>
        <w:rPr>
          <w:rFonts w:hint="eastAsia" w:ascii="仿宋_GB2312" w:hAnsi="Times New Roman" w:eastAsia="仿宋_GB2312" w:cs="仿宋_GB2312"/>
          <w:b/>
          <w:kern w:val="2"/>
          <w:sz w:val="32"/>
          <w:szCs w:val="32"/>
          <w:lang w:val="en-US" w:eastAsia="zh-CN" w:bidi="ar"/>
        </w:rPr>
        <w:t>一是</w:t>
      </w:r>
      <w:r>
        <w:rPr>
          <w:rFonts w:hint="eastAsia" w:ascii="仿宋_GB2312" w:hAnsi="Times New Roman" w:eastAsia="仿宋_GB2312" w:cs="仿宋_GB2312"/>
          <w:b w:val="0"/>
          <w:kern w:val="2"/>
          <w:sz w:val="32"/>
          <w:szCs w:val="32"/>
          <w:lang w:val="en-US" w:eastAsia="zh-CN" w:bidi="ar"/>
        </w:rPr>
        <w:t>积</w:t>
      </w:r>
      <w:r>
        <w:rPr>
          <w:rFonts w:hint="eastAsia" w:ascii="仿宋_GB2312" w:hAnsi="Times New Roman" w:eastAsia="仿宋_GB2312" w:cs="仿宋_GB2312"/>
          <w:kern w:val="2"/>
          <w:sz w:val="32"/>
          <w:szCs w:val="32"/>
          <w:lang w:val="en-US" w:eastAsia="zh-CN" w:bidi="ar"/>
        </w:rPr>
        <w:t>极与市教育、工信、住建、商务、文旅、卫健、城管、机关事务管理等相关部门沟通，梳理汇总各部门节约用水工作开展情况，对照代表建议提出下一步工作落实举措；</w:t>
      </w:r>
      <w:r>
        <w:rPr>
          <w:rFonts w:hint="eastAsia" w:ascii="仿宋_GB2312" w:hAnsi="Times New Roman" w:eastAsia="仿宋_GB2312" w:cs="仿宋_GB2312"/>
          <w:b/>
          <w:kern w:val="2"/>
          <w:sz w:val="32"/>
          <w:szCs w:val="32"/>
          <w:lang w:val="en-US" w:eastAsia="zh-CN" w:bidi="ar"/>
        </w:rPr>
        <w:t>二是</w:t>
      </w:r>
      <w:r>
        <w:rPr>
          <w:rFonts w:hint="eastAsia" w:ascii="仿宋_GB2312" w:hAnsi="Times New Roman" w:eastAsia="仿宋_GB2312" w:cs="仿宋_GB2312"/>
          <w:kern w:val="2"/>
          <w:sz w:val="32"/>
          <w:szCs w:val="32"/>
          <w:lang w:val="en-US" w:eastAsia="zh-CN" w:bidi="ar"/>
        </w:rPr>
        <w:t>积极探索建筑工地基坑水回用及智慧管理调度，在全市多个建筑工地推广建筑数字共享工地节水技术。联合市</w:t>
      </w:r>
      <w:r>
        <w:rPr>
          <w:rFonts w:hint="eastAsia" w:ascii="仿宋_GB2312" w:hAnsi="Times New Roman" w:eastAsia="仿宋_GB2312" w:cs="仿宋_GB2312"/>
          <w:b w:val="0"/>
          <w:kern w:val="2"/>
          <w:sz w:val="32"/>
          <w:szCs w:val="32"/>
          <w:lang w:val="en-US" w:eastAsia="zh-CN" w:bidi="ar"/>
        </w:rPr>
        <w:t>生态、住建、交通、城管、建筑工务署等行业主管部门，通过走访、调研、座谈、会议等形式鼓励推动生产建设项目、施工单位将基坑水沉淀处理后进行循环利用。</w:t>
      </w:r>
    </w:p>
    <w:p w14:paraId="5B8047B2">
      <w:pPr>
        <w:keepNext w:val="0"/>
        <w:keepLines w:val="0"/>
        <w:widowControl w:val="0"/>
        <w:suppressLineNumbers w:val="0"/>
        <w:spacing w:before="0" w:beforeAutospacing="0" w:after="0" w:afterAutospacing="0" w:line="560" w:lineRule="exact"/>
        <w:ind w:left="0" w:right="0" w:firstLine="645"/>
        <w:jc w:val="both"/>
        <w:outlineLvl w:val="0"/>
        <w:rPr>
          <w:rFonts w:hint="eastAsia" w:ascii="黑体" w:hAnsi="宋体" w:eastAsia="黑体" w:cs="Times New Roman"/>
          <w:kern w:val="2"/>
          <w:sz w:val="32"/>
          <w:szCs w:val="32"/>
        </w:rPr>
      </w:pPr>
      <w:r>
        <w:rPr>
          <w:rFonts w:hint="eastAsia" w:ascii="黑体" w:hAnsi="宋体" w:eastAsia="黑体" w:cs="黑体"/>
          <w:kern w:val="2"/>
          <w:sz w:val="32"/>
          <w:szCs w:val="32"/>
          <w:lang w:val="en-US" w:eastAsia="zh-CN" w:bidi="ar"/>
        </w:rPr>
        <w:t>二、具体建议办理情况</w:t>
      </w:r>
    </w:p>
    <w:p w14:paraId="102C776E">
      <w:pPr>
        <w:keepNext w:val="0"/>
        <w:keepLines w:val="0"/>
        <w:widowControl w:val="0"/>
        <w:suppressLineNumbers w:val="0"/>
        <w:spacing w:before="0" w:beforeAutospacing="0" w:after="0" w:afterAutospacing="0" w:line="560" w:lineRule="exact"/>
        <w:ind w:left="0" w:right="0" w:firstLine="645"/>
        <w:jc w:val="both"/>
        <w:outlineLvl w:val="1"/>
        <w:rPr>
          <w:rFonts w:hint="eastAsia" w:ascii="楷体_GB2312" w:eastAsia="楷体_GB2312" w:cs="楷体_GB2312"/>
          <w:b w:val="0"/>
          <w:kern w:val="2"/>
          <w:sz w:val="32"/>
          <w:szCs w:val="32"/>
        </w:rPr>
      </w:pPr>
      <w:r>
        <w:rPr>
          <w:rFonts w:hint="eastAsia" w:ascii="楷体_GB2312" w:hAnsi="Times New Roman" w:eastAsia="楷体_GB2312" w:cs="楷体_GB2312"/>
          <w:b w:val="0"/>
          <w:kern w:val="2"/>
          <w:sz w:val="32"/>
          <w:szCs w:val="32"/>
          <w:lang w:val="en-US" w:eastAsia="zh-CN" w:bidi="ar"/>
        </w:rPr>
        <w:t>（一）关于“对饮用水实施节约用水单位示范案例优选、奖励和推广”的建议，落实情况如下：</w:t>
      </w:r>
    </w:p>
    <w:p w14:paraId="0C9CC854">
      <w:pPr>
        <w:keepNext w:val="0"/>
        <w:keepLines w:val="0"/>
        <w:widowControl w:val="0"/>
        <w:suppressLineNumbers w:val="0"/>
        <w:spacing w:before="0" w:beforeAutospacing="0" w:after="0" w:afterAutospacing="0" w:line="560" w:lineRule="exact"/>
        <w:ind w:left="0" w:right="0" w:firstLine="645"/>
        <w:jc w:val="both"/>
        <w:outlineLvl w:val="1"/>
        <w:rPr>
          <w:rFonts w:hint="eastAsia" w:ascii="仿宋_GB2312" w:hAnsi="Times New Roman" w:eastAsia="仿宋_GB2312" w:cs="仿宋_GB2312"/>
          <w:kern w:val="2"/>
          <w:sz w:val="32"/>
          <w:szCs w:val="32"/>
        </w:rPr>
      </w:pPr>
      <w:r>
        <w:rPr>
          <w:rFonts w:hint="eastAsia" w:ascii="仿宋_GB2312" w:hAnsi="Times New Roman" w:eastAsia="仿宋_GB2312" w:cs="仿宋_GB2312"/>
          <w:b w:val="0"/>
          <w:kern w:val="2"/>
          <w:sz w:val="32"/>
          <w:szCs w:val="32"/>
          <w:lang w:val="en-US" w:eastAsia="zh-CN" w:bidi="ar"/>
        </w:rPr>
        <w:t>一是开展节水载体标准化建设。我局</w:t>
      </w:r>
      <w:r>
        <w:rPr>
          <w:rFonts w:hint="eastAsia" w:ascii="仿宋_GB2312" w:hAnsi="Times New Roman" w:eastAsia="仿宋_GB2312" w:cs="仿宋_GB2312"/>
          <w:kern w:val="2"/>
          <w:sz w:val="32"/>
          <w:szCs w:val="32"/>
          <w:lang w:val="en-US" w:eastAsia="zh-CN" w:bidi="ar"/>
        </w:rPr>
        <w:t>制定地方标准《节水载体评价规范》，会同市教育、工信、住建、商务、文旅、卫健、城管、机关事务管理等部门指导各领域用水单位开展节水载体标准化建设以及节水标杆遴选工作，全市共有深圳青岛啤酒朝日有限公司、TCL华星光电技术有限公司等11家工业企业建成省级节水标杆企业；福田区机关事务管理局、萨米医疗中心、深圳海关、龙华区实验学校教育集团等4家单位获评国家2024-2026年度</w:t>
      </w:r>
      <w:r>
        <w:rPr>
          <w:rFonts w:hint="eastAsia" w:ascii="仿宋_GB2312" w:hAns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公共机构水效领跑者</w:t>
      </w:r>
      <w:r>
        <w:rPr>
          <w:rFonts w:hint="eastAsia" w:ascii="仿宋_GB2312" w:hAns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称号，树立了一批优秀节水</w:t>
      </w:r>
      <w:r>
        <w:rPr>
          <w:rFonts w:hint="default" w:ascii="仿宋_GB2312" w:eastAsia="仿宋_GB2312" w:cs="仿宋_GB2312"/>
          <w:kern w:val="2"/>
          <w:sz w:val="32"/>
          <w:szCs w:val="32"/>
          <w:lang w:eastAsia="zh-CN" w:bidi="ar"/>
        </w:rPr>
        <w:t>标杆</w:t>
      </w:r>
      <w:r>
        <w:rPr>
          <w:rFonts w:hint="eastAsia" w:ascii="仿宋_GB2312" w:hAnsi="Times New Roman" w:eastAsia="仿宋_GB2312" w:cs="仿宋_GB2312"/>
          <w:kern w:val="2"/>
          <w:sz w:val="32"/>
          <w:szCs w:val="32"/>
          <w:lang w:val="en-US" w:eastAsia="zh-CN" w:bidi="ar"/>
        </w:rPr>
        <w:t>。</w:t>
      </w:r>
    </w:p>
    <w:p w14:paraId="5DB6C4C7">
      <w:pPr>
        <w:keepNext w:val="0"/>
        <w:keepLines w:val="0"/>
        <w:widowControl w:val="0"/>
        <w:suppressLineNumbers w:val="0"/>
        <w:spacing w:before="0" w:beforeAutospacing="0" w:after="0" w:afterAutospacing="0" w:line="560" w:lineRule="exact"/>
        <w:ind w:left="0" w:right="0" w:firstLine="645"/>
        <w:jc w:val="both"/>
        <w:outlineLvl w:val="1"/>
        <w:rPr>
          <w:rFonts w:hint="eastAsia" w:ascii="仿宋_GB2312" w:hAnsi="Times New Roman" w:eastAsia="仿宋_GB2312" w:cs="仿宋_GB2312"/>
          <w:kern w:val="2"/>
          <w:sz w:val="32"/>
          <w:szCs w:val="32"/>
        </w:rPr>
      </w:pPr>
      <w:r>
        <w:rPr>
          <w:rFonts w:hint="eastAsia" w:ascii="仿宋_GB2312" w:hAnsi="Times New Roman" w:eastAsia="仿宋_GB2312" w:cs="仿宋_GB2312"/>
          <w:b w:val="0"/>
          <w:kern w:val="2"/>
          <w:sz w:val="32"/>
          <w:szCs w:val="32"/>
          <w:lang w:val="en-US" w:eastAsia="zh-CN" w:bidi="ar"/>
        </w:rPr>
        <w:t>二是</w:t>
      </w:r>
      <w:r>
        <w:rPr>
          <w:rFonts w:hint="eastAsia" w:ascii="仿宋_GB2312" w:hAnsi="Times New Roman" w:eastAsia="仿宋_GB2312" w:cs="仿宋_GB2312"/>
          <w:kern w:val="2"/>
          <w:sz w:val="32"/>
          <w:szCs w:val="32"/>
          <w:lang w:val="en-US" w:eastAsia="zh-CN" w:bidi="ar"/>
        </w:rPr>
        <w:t>制定实行节约用水奖励政策，激</w:t>
      </w:r>
      <w:r>
        <w:rPr>
          <w:rFonts w:hint="default" w:ascii="仿宋_GB2312" w:eastAsia="仿宋_GB2312" w:cs="仿宋_GB2312"/>
          <w:kern w:val="2"/>
          <w:sz w:val="32"/>
          <w:szCs w:val="32"/>
          <w:lang w:eastAsia="zh-CN" w:bidi="ar"/>
        </w:rPr>
        <w:t>发</w:t>
      </w:r>
      <w:r>
        <w:rPr>
          <w:rFonts w:hint="eastAsia" w:ascii="仿宋_GB2312" w:hAnsi="Times New Roman" w:eastAsia="仿宋_GB2312" w:cs="仿宋_GB2312"/>
          <w:kern w:val="2"/>
          <w:sz w:val="32"/>
          <w:szCs w:val="32"/>
          <w:lang w:val="en-US" w:eastAsia="zh-CN" w:bidi="ar"/>
        </w:rPr>
        <w:t>单位和个人节水积极性和主动性。我局与市财政局联合印发《深圳市节约用水奖励办法》，对在我市节约用水工作中</w:t>
      </w:r>
      <w:r>
        <w:rPr>
          <w:rFonts w:hint="default" w:ascii="仿宋_GB2312" w:eastAsia="仿宋_GB2312" w:cs="仿宋_GB2312"/>
          <w:kern w:val="2"/>
          <w:sz w:val="32"/>
          <w:szCs w:val="32"/>
          <w:lang w:eastAsia="zh-CN" w:bidi="ar"/>
        </w:rPr>
        <w:t>作出</w:t>
      </w:r>
      <w:r>
        <w:rPr>
          <w:rFonts w:hint="eastAsia" w:ascii="仿宋_GB2312" w:hAnsi="Times New Roman" w:eastAsia="仿宋_GB2312" w:cs="仿宋_GB2312"/>
          <w:kern w:val="2"/>
          <w:sz w:val="32"/>
          <w:szCs w:val="32"/>
          <w:lang w:val="en-US" w:eastAsia="zh-CN" w:bidi="ar"/>
        </w:rPr>
        <w:t>突出贡献和</w:t>
      </w:r>
      <w:r>
        <w:rPr>
          <w:rFonts w:hint="default" w:ascii="仿宋_GB2312" w:eastAsia="仿宋_GB2312" w:cs="仿宋_GB2312"/>
          <w:kern w:val="2"/>
          <w:sz w:val="32"/>
          <w:szCs w:val="32"/>
          <w:lang w:eastAsia="zh-CN" w:bidi="ar"/>
        </w:rPr>
        <w:t>取得明显</w:t>
      </w:r>
      <w:r>
        <w:rPr>
          <w:rFonts w:hint="eastAsia" w:ascii="仿宋_GB2312" w:hAnsi="Times New Roman" w:eastAsia="仿宋_GB2312" w:cs="仿宋_GB2312"/>
          <w:kern w:val="2"/>
          <w:sz w:val="32"/>
          <w:szCs w:val="32"/>
          <w:lang w:val="en-US" w:eastAsia="zh-CN" w:bidi="ar"/>
        </w:rPr>
        <w:t>成效的单位或者个人给予奖励，截至目前已累计发放奖励6000万元，有效带动和激励全社会自觉开展节水工作。</w:t>
      </w:r>
    </w:p>
    <w:p w14:paraId="633D979D">
      <w:pPr>
        <w:keepNext w:val="0"/>
        <w:keepLines w:val="0"/>
        <w:widowControl w:val="0"/>
        <w:suppressLineNumbers w:val="0"/>
        <w:spacing w:before="0" w:beforeAutospacing="0" w:after="0" w:afterAutospacing="0" w:line="560" w:lineRule="exact"/>
        <w:ind w:left="0" w:right="0" w:firstLine="645"/>
        <w:jc w:val="both"/>
        <w:rPr>
          <w:rFonts w:hint="eastAsia" w:ascii="仿宋_GB2312" w:hAnsi="Times New Roman" w:eastAsia="仿宋_GB2312" w:cs="Times New Roman"/>
          <w:kern w:val="2"/>
          <w:sz w:val="32"/>
          <w:szCs w:val="32"/>
        </w:rPr>
      </w:pPr>
      <w:r>
        <w:rPr>
          <w:rFonts w:hint="eastAsia" w:ascii="仿宋_GB2312" w:hAnsi="Times New Roman" w:eastAsia="仿宋_GB2312" w:cs="Times New Roman"/>
          <w:b w:val="0"/>
          <w:kern w:val="2"/>
          <w:sz w:val="32"/>
          <w:szCs w:val="32"/>
          <w:lang w:val="en-US" w:eastAsia="zh-CN" w:bidi="ar"/>
        </w:rPr>
        <w:t>三是</w:t>
      </w:r>
      <w:r>
        <w:rPr>
          <w:rFonts w:hint="eastAsia" w:ascii="仿宋_GB2312" w:hAnsi="Times New Roman" w:eastAsia="仿宋_GB2312" w:cs="Times New Roman"/>
          <w:kern w:val="2"/>
          <w:sz w:val="32"/>
          <w:szCs w:val="32"/>
          <w:lang w:val="en-US" w:eastAsia="zh-CN" w:bidi="ar"/>
        </w:rPr>
        <w:t>全面推广使用节水型工艺、设备、器具等，不断提高节水效能。我局联合市住建、市监</w:t>
      </w:r>
      <w:r>
        <w:rPr>
          <w:rFonts w:hint="default" w:ascii="仿宋_GB2312" w:eastAsia="仿宋_GB2312" w:cs="Times New Roman"/>
          <w:kern w:val="2"/>
          <w:sz w:val="32"/>
          <w:szCs w:val="32"/>
          <w:lang w:eastAsia="zh-CN" w:bidi="ar"/>
        </w:rPr>
        <w:t>部门</w:t>
      </w:r>
      <w:r>
        <w:rPr>
          <w:rFonts w:hint="eastAsia" w:ascii="仿宋_GB2312" w:hAnsi="Times New Roman" w:eastAsia="仿宋_GB2312" w:cs="Times New Roman"/>
          <w:kern w:val="2"/>
          <w:sz w:val="32"/>
          <w:szCs w:val="32"/>
          <w:lang w:val="en-US" w:eastAsia="zh-CN" w:bidi="ar"/>
        </w:rPr>
        <w:t>连续</w:t>
      </w:r>
      <w:r>
        <w:rPr>
          <w:rFonts w:hint="eastAsia" w:ascii="仿宋_GB2312" w:hAnsi="Times New Roman" w:eastAsia="仿宋_GB2312" w:cs="仿宋_GB2312"/>
          <w:kern w:val="2"/>
          <w:sz w:val="32"/>
          <w:szCs w:val="32"/>
          <w:lang w:val="en-US" w:eastAsia="zh-CN" w:bidi="ar"/>
        </w:rPr>
        <w:t>19年开展节水型工艺、设备、器具名录遴选，累计公开向社会发布700余项产品，涵盖节水器具、智慧节水、园林节水、污水再生利用、建筑工地黄泥水处理回用等领域；优选智慧移动厕所系统、建筑数字共享工地节水技术、管道检测机器人、电子行业循环利用减排实践等4个案例入选2025广东十大节水典型案例。</w:t>
      </w:r>
      <w:r>
        <w:rPr>
          <w:rFonts w:hint="eastAsia" w:ascii="仿宋_GB2312" w:hAnsi="Times New Roman" w:eastAsia="仿宋_GB2312" w:cs="Times New Roman"/>
          <w:kern w:val="2"/>
          <w:sz w:val="32"/>
          <w:szCs w:val="32"/>
          <w:lang w:val="en-US" w:eastAsia="zh-CN" w:bidi="ar"/>
        </w:rPr>
        <w:t>联合市机关事务管理局针对全市700余家公共机构开展节水器具普及更新工作，要求公共机构改造后的用水器具、新购置用水器具必须达到2级以上水效标准，优先推荐使用国家、省、市节水工艺、技术、设备名录中的产品。</w:t>
      </w:r>
      <w:r>
        <w:rPr>
          <w:rFonts w:hint="eastAsia" w:ascii="仿宋_GB2312" w:hAnsi="Times New Roman" w:eastAsia="仿宋_GB2312" w:cs="Times New Roman"/>
          <w:b w:val="0"/>
          <w:kern w:val="2"/>
          <w:sz w:val="32"/>
          <w:szCs w:val="32"/>
          <w:lang w:val="en-US" w:eastAsia="zh-CN" w:bidi="ar"/>
        </w:rPr>
        <w:t>下一步，</w:t>
      </w:r>
      <w:r>
        <w:rPr>
          <w:rFonts w:hint="eastAsia" w:ascii="仿宋_GB2312" w:hAnsi="Times New Roman" w:eastAsia="仿宋_GB2312" w:cs="Times New Roman"/>
          <w:kern w:val="2"/>
          <w:sz w:val="32"/>
          <w:szCs w:val="32"/>
          <w:lang w:val="en-US" w:eastAsia="zh-CN" w:bidi="ar"/>
        </w:rPr>
        <w:t>我局将联合市住建、市监</w:t>
      </w:r>
      <w:r>
        <w:rPr>
          <w:rFonts w:hint="default" w:ascii="仿宋_GB2312" w:eastAsia="仿宋_GB2312" w:cs="Times New Roman"/>
          <w:kern w:val="2"/>
          <w:sz w:val="32"/>
          <w:szCs w:val="32"/>
          <w:lang w:eastAsia="zh-CN" w:bidi="ar"/>
        </w:rPr>
        <w:t>部门</w:t>
      </w:r>
      <w:r>
        <w:rPr>
          <w:rFonts w:hint="eastAsia" w:ascii="仿宋_GB2312" w:hAnsi="Times New Roman" w:eastAsia="仿宋_GB2312" w:cs="Times New Roman"/>
          <w:kern w:val="2"/>
          <w:sz w:val="32"/>
          <w:szCs w:val="32"/>
          <w:lang w:val="en-US" w:eastAsia="zh-CN" w:bidi="ar"/>
        </w:rPr>
        <w:t>继续开展节水型工艺、设备、器具名录遴选，在节水器具、智慧节水、园林节水、污水再生利用、建筑工地基坑水回用等领域广泛征集推广优秀节水技术设备器具。</w:t>
      </w:r>
    </w:p>
    <w:p w14:paraId="0BF3653B">
      <w:pPr>
        <w:keepNext w:val="0"/>
        <w:keepLines w:val="0"/>
        <w:widowControl w:val="0"/>
        <w:suppressLineNumbers w:val="0"/>
        <w:spacing w:before="0" w:beforeAutospacing="0" w:after="0" w:afterAutospacing="0" w:line="560" w:lineRule="exact"/>
        <w:ind w:left="0" w:right="0" w:firstLine="645"/>
        <w:jc w:val="both"/>
        <w:rPr>
          <w:rFonts w:hint="eastAsia" w:ascii="仿宋_GB2312" w:hAnsi="Times New Roman" w:eastAsia="仿宋_GB2312" w:cs="Times New Roman"/>
          <w:kern w:val="2"/>
          <w:sz w:val="32"/>
          <w:szCs w:val="32"/>
        </w:rPr>
      </w:pPr>
      <w:r>
        <w:rPr>
          <w:rFonts w:hint="eastAsia" w:ascii="仿宋_GB2312" w:hAnsi="Times New Roman" w:eastAsia="仿宋_GB2312" w:cs="Times New Roman"/>
          <w:b w:val="0"/>
          <w:kern w:val="2"/>
          <w:sz w:val="32"/>
          <w:szCs w:val="32"/>
          <w:lang w:val="en-US" w:eastAsia="zh-CN" w:bidi="ar"/>
        </w:rPr>
        <w:t>四是</w:t>
      </w:r>
      <w:r>
        <w:rPr>
          <w:rFonts w:hint="eastAsia" w:ascii="仿宋_GB2312" w:hAnsi="Times New Roman" w:eastAsia="仿宋_GB2312" w:cs="Times New Roman"/>
          <w:kern w:val="2"/>
          <w:sz w:val="32"/>
          <w:szCs w:val="32"/>
          <w:lang w:val="en-US" w:eastAsia="zh-CN" w:bidi="ar"/>
        </w:rPr>
        <w:t>强化全市用水单位计划用水管理，2024年我市实现对年用水量1万立方米及以上单位用户计划用水管理全覆盖，做到应管尽管、分级分类管理。更新公布全市重点监控用水单位名录，加强对年用水量50万立方米以上的用水单位及高耗水行业企业</w:t>
      </w:r>
      <w:r>
        <w:rPr>
          <w:rFonts w:hint="default" w:ascii="仿宋_GB2312" w:eastAsia="仿宋_GB2312" w:cs="Times New Roman"/>
          <w:kern w:val="2"/>
          <w:sz w:val="32"/>
          <w:szCs w:val="32"/>
          <w:lang w:eastAsia="zh-CN" w:bidi="ar"/>
        </w:rPr>
        <w:t>的</w:t>
      </w:r>
      <w:r>
        <w:rPr>
          <w:rFonts w:hint="eastAsia" w:ascii="仿宋_GB2312" w:hAnsi="Times New Roman" w:eastAsia="仿宋_GB2312" w:cs="Times New Roman"/>
          <w:kern w:val="2"/>
          <w:sz w:val="32"/>
          <w:szCs w:val="32"/>
          <w:lang w:val="en-US" w:eastAsia="zh-CN" w:bidi="ar"/>
        </w:rPr>
        <w:t>管理，2024年对监控名录单位及重点用水单位开展节约用水检查850余家次</w:t>
      </w:r>
      <w:r>
        <w:rPr>
          <w:rFonts w:hint="default" w:ascii="仿宋_GB2312" w:eastAsia="仿宋_GB2312" w:cs="Times New Roman"/>
          <w:kern w:val="2"/>
          <w:sz w:val="32"/>
          <w:szCs w:val="32"/>
          <w:lang w:eastAsia="zh-CN" w:bidi="ar"/>
        </w:rPr>
        <w:t>，</w:t>
      </w:r>
      <w:r>
        <w:rPr>
          <w:rFonts w:hint="eastAsia" w:ascii="仿宋_GB2312" w:hAnsi="Times New Roman" w:eastAsia="仿宋_GB2312" w:cs="Times New Roman"/>
          <w:kern w:val="2"/>
          <w:sz w:val="32"/>
          <w:szCs w:val="32"/>
          <w:lang w:val="en-US" w:eastAsia="zh-CN" w:bidi="ar"/>
        </w:rPr>
        <w:t>组织开展节水载体建设工作培训、节约用水条例宣贯、公共机构节约用水工作培训等多种形式的培训共50次，指导单位用户在计量设施运行维护、年度用水计划执行、节水设施与节水宣传等方面优化完善节约用水方案和措施，提高节水管理水平。</w:t>
      </w:r>
    </w:p>
    <w:p w14:paraId="2DD22BC3">
      <w:pPr>
        <w:keepNext w:val="0"/>
        <w:keepLines w:val="0"/>
        <w:widowControl w:val="0"/>
        <w:suppressLineNumbers w:val="0"/>
        <w:spacing w:before="0" w:beforeAutospacing="0" w:after="0" w:afterAutospacing="0" w:line="560" w:lineRule="exact"/>
        <w:ind w:left="0" w:right="0" w:firstLine="640" w:firstLineChars="200"/>
        <w:jc w:val="both"/>
        <w:outlineLvl w:val="1"/>
        <w:rPr>
          <w:rFonts w:hint="eastAsia" w:ascii="楷体_GB2312" w:eastAsia="楷体_GB2312" w:cs="楷体_GB2312"/>
          <w:b w:val="0"/>
          <w:kern w:val="2"/>
          <w:sz w:val="32"/>
          <w:szCs w:val="32"/>
        </w:rPr>
      </w:pPr>
      <w:r>
        <w:rPr>
          <w:rFonts w:hint="eastAsia" w:ascii="楷体_GB2312" w:hAnsi="Times New Roman" w:eastAsia="楷体_GB2312" w:cs="楷体_GB2312"/>
          <w:b w:val="0"/>
          <w:kern w:val="2"/>
          <w:sz w:val="32"/>
          <w:szCs w:val="32"/>
          <w:lang w:val="en-US" w:eastAsia="zh-CN" w:bidi="ar"/>
        </w:rPr>
        <w:t>（二）关于“要求每个工地建设循环用水水箱，在满足工地自己清洁用水同时可以对外提供基坑中水用于环卫清洁，节水自来水的试用”的建议，落实情况如下：</w:t>
      </w:r>
    </w:p>
    <w:p w14:paraId="1A34FAF2">
      <w:pPr>
        <w:keepNext w:val="0"/>
        <w:keepLines w:val="0"/>
        <w:widowControl w:val="0"/>
        <w:suppressLineNumbers w:val="0"/>
        <w:spacing w:before="0" w:beforeAutospacing="0" w:after="0" w:afterAutospacing="0" w:line="560" w:lineRule="exact"/>
        <w:ind w:left="0" w:right="0" w:firstLine="640"/>
        <w:jc w:val="both"/>
        <w:outlineLvl w:val="1"/>
        <w:rPr>
          <w:rFonts w:hint="eastAsia" w:ascii="仿宋_GB2312"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我局鼓励工地基坑水处理及循环利用系统建设，探索将工地基坑黄泥水、冲洗废水进行循环再生利用，其中智慧黄泥水净化回用一体机等建筑工地基坑黄泥水</w:t>
      </w:r>
      <w:r>
        <w:rPr>
          <w:rFonts w:hint="default" w:ascii="仿宋_GB2312" w:eastAsia="仿宋_GB2312" w:cs="仿宋_GB2312"/>
          <w:kern w:val="2"/>
          <w:sz w:val="32"/>
          <w:szCs w:val="32"/>
          <w:lang w:eastAsia="zh-CN" w:bidi="ar"/>
        </w:rPr>
        <w:t>处理设备</w:t>
      </w:r>
      <w:r>
        <w:rPr>
          <w:rFonts w:hint="eastAsia" w:ascii="仿宋_GB2312" w:hAnsi="Times New Roman" w:eastAsia="仿宋_GB2312" w:cs="仿宋_GB2312"/>
          <w:kern w:val="2"/>
          <w:sz w:val="32"/>
          <w:szCs w:val="32"/>
          <w:lang w:val="en-US" w:eastAsia="zh-CN" w:bidi="ar"/>
        </w:rPr>
        <w:t>入选《深圳市2024年度节水型工艺（技术）、设备、器具名录（总第十九期）》。目前我市已有144个项目安装基坑水、冲洗废水、黄泥水泥水分离设施，沉淀过滤后的水用于冲洗车辆、喷洒路面等。同时，积极推广市政再生水用于道路冲洗和绿化浇洒，截至2024年底</w:t>
      </w:r>
      <w:r>
        <w:rPr>
          <w:rFonts w:hint="default" w:asci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全市已根据再生水管线布局情况建成170个再生水车载取水点，每年联合市城管部门、区水务部门向各区环卫绿化管养单位公布再生水取水点</w:t>
      </w:r>
      <w:r>
        <w:rPr>
          <w:rFonts w:hint="default" w:ascii="仿宋_GB2312" w:eastAsia="仿宋_GB2312" w:cs="仿宋_GB2312"/>
          <w:kern w:val="2"/>
          <w:sz w:val="32"/>
          <w:szCs w:val="32"/>
          <w:lang w:eastAsia="zh-CN" w:bidi="ar"/>
        </w:rPr>
        <w:t>清</w:t>
      </w:r>
      <w:r>
        <w:rPr>
          <w:rFonts w:hint="eastAsia" w:ascii="仿宋_GB2312" w:hAnsi="Times New Roman" w:eastAsia="仿宋_GB2312" w:cs="仿宋_GB2312"/>
          <w:kern w:val="2"/>
          <w:sz w:val="32"/>
          <w:szCs w:val="32"/>
          <w:lang w:val="en-US" w:eastAsia="zh-CN" w:bidi="ar"/>
        </w:rPr>
        <w:t>单。</w:t>
      </w:r>
    </w:p>
    <w:p w14:paraId="29CA3102">
      <w:pPr>
        <w:keepNext w:val="0"/>
        <w:keepLines w:val="0"/>
        <w:widowControl w:val="0"/>
        <w:suppressLineNumbers w:val="0"/>
        <w:spacing w:before="0" w:beforeAutospacing="0" w:after="0" w:afterAutospacing="0" w:line="560" w:lineRule="exact"/>
        <w:ind w:left="0" w:right="0" w:firstLine="640"/>
        <w:jc w:val="both"/>
        <w:outlineLvl w:val="1"/>
        <w:rPr>
          <w:rFonts w:hint="eastAsia" w:ascii="仿宋_GB2312" w:hAnsi="Times New Roman" w:eastAsia="仿宋_GB2312" w:cs="仿宋_GB2312"/>
          <w:kern w:val="2"/>
          <w:sz w:val="32"/>
          <w:szCs w:val="32"/>
        </w:rPr>
      </w:pPr>
      <w:r>
        <w:rPr>
          <w:rFonts w:hint="eastAsia" w:ascii="仿宋_GB2312" w:hAnsi="Times New Roman" w:eastAsia="仿宋_GB2312" w:cs="仿宋_GB2312"/>
          <w:b w:val="0"/>
          <w:kern w:val="2"/>
          <w:sz w:val="32"/>
          <w:szCs w:val="32"/>
          <w:lang w:val="en-US" w:eastAsia="zh-CN" w:bidi="ar"/>
        </w:rPr>
        <w:t>下一步，</w:t>
      </w:r>
      <w:r>
        <w:rPr>
          <w:rFonts w:hint="eastAsia" w:ascii="仿宋_GB2312" w:hAnsi="Times New Roman" w:eastAsia="仿宋_GB2312" w:cs="仿宋_GB2312"/>
          <w:kern w:val="2"/>
          <w:sz w:val="32"/>
          <w:szCs w:val="32"/>
          <w:lang w:val="en-US" w:eastAsia="zh-CN" w:bidi="ar"/>
        </w:rPr>
        <w:t>我局将联合各行业主管部门总结试点经验</w:t>
      </w:r>
      <w:r>
        <w:rPr>
          <w:rFonts w:hint="default" w:asci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逐步推广基坑水处理及循环利用系统；</w:t>
      </w:r>
      <w:r>
        <w:rPr>
          <w:rFonts w:hint="eastAsia" w:ascii="仿宋_GB2312" w:hAnsi="Times New Roman" w:eastAsia="仿宋_GB2312" w:cs="仿宋_GB2312"/>
          <w:b w:val="0"/>
          <w:kern w:val="2"/>
          <w:sz w:val="32"/>
          <w:szCs w:val="32"/>
          <w:lang w:val="en-US" w:eastAsia="zh-CN" w:bidi="ar"/>
        </w:rPr>
        <w:t>进一步加强调查研究，持续推广有关创新技术，探索净化后的工地废水循环利用途径和使用范围、场景；联合市住建部门、区水务部门充分利用基坑水，完善基坑水取水点建设，联合市城管部门借助建筑数字共享工地节水系统公布全市基坑水取水点信息，鼓励环卫绿化管养单位积极使用基坑水；持续强化宣传工作，提升生产建设项目参建单位基坑循环水节约和使用意识。</w:t>
      </w:r>
    </w:p>
    <w:p w14:paraId="2CD5F690">
      <w:pPr>
        <w:keepNext w:val="0"/>
        <w:keepLines w:val="0"/>
        <w:widowControl w:val="0"/>
        <w:suppressLineNumbers w:val="0"/>
        <w:spacing w:before="0" w:beforeAutospacing="0" w:after="0" w:afterAutospacing="0" w:line="560" w:lineRule="exact"/>
        <w:ind w:left="0" w:right="0" w:firstLine="640" w:firstLineChars="200"/>
        <w:jc w:val="both"/>
        <w:outlineLvl w:val="1"/>
        <w:rPr>
          <w:rFonts w:hint="eastAsia" w:ascii="楷体_GB2312" w:eastAsia="楷体_GB2312" w:cs="楷体_GB2312"/>
          <w:b w:val="0"/>
          <w:kern w:val="2"/>
          <w:sz w:val="32"/>
          <w:szCs w:val="32"/>
        </w:rPr>
      </w:pPr>
      <w:r>
        <w:rPr>
          <w:rFonts w:hint="eastAsia" w:ascii="楷体_GB2312" w:hAnsi="Times New Roman" w:eastAsia="楷体_GB2312" w:cs="楷体_GB2312"/>
          <w:b w:val="0"/>
          <w:kern w:val="2"/>
          <w:sz w:val="32"/>
          <w:szCs w:val="32"/>
          <w:lang w:val="en-US" w:eastAsia="zh-CN" w:bidi="ar"/>
        </w:rPr>
        <w:t>（三）关于“搭建全市建筑工地基坑水回用智慧管理调度平台，并接入全市智慧水务系统管理，同时限制道路绿化清洁使用自来水”的建议，落实情况如下：</w:t>
      </w:r>
    </w:p>
    <w:p w14:paraId="3F568473">
      <w:pPr>
        <w:keepNext w:val="0"/>
        <w:keepLines w:val="0"/>
        <w:widowControl w:val="0"/>
        <w:suppressLineNumbers w:val="0"/>
        <w:spacing w:before="0" w:beforeAutospacing="0" w:after="0" w:afterAutospacing="0" w:line="560" w:lineRule="exact"/>
        <w:ind w:left="0" w:right="0" w:firstLine="645"/>
        <w:jc w:val="both"/>
        <w:rPr>
          <w:rFonts w:hint="eastAsia" w:ascii="仿宋_GB2312"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我市积极探索建筑工地基坑水回用及智慧管理调度，在福田区万云大厦、南山区OPPO国际总部项目建筑工地、龙岗区深惠城际2标（五和-坪地）土建五工区龙城站万象天成工段等多个建筑工地启用建筑数字共享工地节水技术</w:t>
      </w:r>
      <w:r>
        <w:rPr>
          <w:rFonts w:hint="default" w:asci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该技术由深圳市云科节能环保科技有限公司开发，创新研发数字共享节水型工地系统</w:t>
      </w:r>
      <w:r>
        <w:rPr>
          <w:rFonts w:hint="default" w:asci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通过黄泥水净化技术使废水处理后达到城市杂用标准，实现日均再生水产量近500吨。该技术借助大数据平台构建“处理-监督-储运-调度”一体化管理模式</w:t>
      </w:r>
      <w:r>
        <w:rPr>
          <w:rFonts w:hint="default" w:asci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同步降低建筑工地自来水消耗与排污支出</w:t>
      </w:r>
      <w:r>
        <w:rPr>
          <w:rFonts w:hint="default" w:ascii="仿宋_GB2312" w:eastAsia="仿宋_GB2312" w:cs="仿宋_GB2312"/>
          <w:kern w:val="2"/>
          <w:sz w:val="32"/>
          <w:szCs w:val="32"/>
          <w:lang w:eastAsia="zh-CN" w:bidi="ar"/>
        </w:rPr>
        <w:t>，</w:t>
      </w:r>
      <w:r>
        <w:rPr>
          <w:rFonts w:hint="eastAsia" w:ascii="仿宋_GB2312" w:hAnsi="Times New Roman" w:eastAsia="仿宋_GB2312" w:cs="仿宋_GB2312"/>
          <w:kern w:val="2"/>
          <w:sz w:val="32"/>
          <w:szCs w:val="32"/>
          <w:lang w:val="en-US" w:eastAsia="zh-CN" w:bidi="ar"/>
        </w:rPr>
        <w:t>形成“节水减污-降本增效”双重闭环。建筑数字共享工地节水技术已入选2025广东十大节水典型案例，相关经验做法为全省各地各领域推进节水工作树立了标杆。</w:t>
      </w:r>
      <w:r>
        <w:rPr>
          <w:rFonts w:hint="eastAsia" w:ascii="仿宋_GB2312" w:hAnsi="Times New Roman" w:eastAsia="仿宋_GB2312" w:cs="仿宋_GB2312"/>
          <w:b w:val="0"/>
          <w:kern w:val="2"/>
          <w:sz w:val="32"/>
          <w:szCs w:val="32"/>
          <w:lang w:val="en-US" w:eastAsia="zh-CN" w:bidi="ar"/>
        </w:rPr>
        <w:t>下一步，</w:t>
      </w:r>
      <w:r>
        <w:rPr>
          <w:rFonts w:hint="eastAsia" w:ascii="仿宋_GB2312" w:hAnsi="Times New Roman" w:eastAsia="仿宋_GB2312" w:cs="仿宋_GB2312"/>
          <w:kern w:val="2"/>
          <w:sz w:val="32"/>
          <w:szCs w:val="32"/>
          <w:lang w:val="en-US" w:eastAsia="zh-CN" w:bidi="ar"/>
        </w:rPr>
        <w:t>我局将联合市</w:t>
      </w:r>
      <w:r>
        <w:rPr>
          <w:rFonts w:hint="default" w:ascii="仿宋_GB2312" w:eastAsia="仿宋_GB2312" w:cs="仿宋_GB2312"/>
          <w:kern w:val="2"/>
          <w:sz w:val="32"/>
          <w:szCs w:val="32"/>
          <w:lang w:eastAsia="zh-CN" w:bidi="ar"/>
        </w:rPr>
        <w:t>住房建设</w:t>
      </w:r>
      <w:r>
        <w:rPr>
          <w:rFonts w:hint="eastAsia" w:ascii="仿宋_GB2312" w:hAnsi="Times New Roman" w:eastAsia="仿宋_GB2312" w:cs="仿宋_GB2312"/>
          <w:kern w:val="2"/>
          <w:sz w:val="32"/>
          <w:szCs w:val="32"/>
          <w:lang w:val="en-US" w:eastAsia="zh-CN" w:bidi="ar"/>
        </w:rPr>
        <w:t>局加强推广建筑工地基坑水回用及智慧管理调度系统，在市场形成一定使用规模的基础上，深入调研建筑工地基坑水回用需求及可回用量，探索建立基坑水回用管理机制，完善管理要求，在此基础上研究统筹搭建全市建筑工地基坑水回用指挥管理调度平台，科学调度使用全市建筑工地基坑回用水。</w:t>
      </w:r>
    </w:p>
    <w:p w14:paraId="7B966680">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2024年4月，经市政府同意，我局</w:t>
      </w:r>
      <w:r>
        <w:rPr>
          <w:rFonts w:hint="default" w:ascii="仿宋_GB2312" w:eastAsia="仿宋_GB2312" w:cs="仿宋_GB2312"/>
          <w:kern w:val="2"/>
          <w:sz w:val="32"/>
          <w:szCs w:val="32"/>
          <w:lang w:eastAsia="zh-CN" w:bidi="ar"/>
        </w:rPr>
        <w:t>与</w:t>
      </w:r>
      <w:r>
        <w:rPr>
          <w:rFonts w:hint="eastAsia" w:ascii="仿宋_GB2312" w:hAnsi="Times New Roman" w:eastAsia="仿宋_GB2312" w:cs="仿宋_GB2312"/>
          <w:kern w:val="2"/>
          <w:sz w:val="32"/>
          <w:szCs w:val="32"/>
          <w:lang w:val="en-US" w:eastAsia="zh-CN" w:bidi="ar"/>
        </w:rPr>
        <w:t>市发展改革委、市财政局等10部门联合印发了《深圳市污水资源化利用行动方案》，其中明确“强制要求市政道路附属绿地绿化浇洒、市政道路冲洗采用再生水、雨水资源”。截至2024年底，全市已实现建成区5公里半径范围内取水点全覆盖，90%以上市政道路冲洗及附属绿地浇洒</w:t>
      </w:r>
      <w:r>
        <w:rPr>
          <w:rFonts w:hint="default" w:ascii="仿宋_GB2312" w:eastAsia="仿宋_GB2312" w:cs="仿宋_GB2312"/>
          <w:kern w:val="2"/>
          <w:sz w:val="32"/>
          <w:szCs w:val="32"/>
          <w:lang w:eastAsia="zh-CN" w:bidi="ar"/>
        </w:rPr>
        <w:t>使用</w:t>
      </w:r>
      <w:r>
        <w:rPr>
          <w:rFonts w:hint="eastAsia" w:ascii="仿宋_GB2312" w:hAnsi="Times New Roman" w:eastAsia="仿宋_GB2312" w:cs="仿宋_GB2312"/>
          <w:kern w:val="2"/>
          <w:sz w:val="32"/>
          <w:szCs w:val="32"/>
          <w:lang w:val="en-US" w:eastAsia="zh-CN" w:bidi="ar"/>
        </w:rPr>
        <w:t>再生水替代，用于市政杂用方面再生水替代常规水量达2700万立方米，即每年直接节约2700万立方米自来水。</w:t>
      </w:r>
      <w:r>
        <w:rPr>
          <w:rFonts w:hint="eastAsia" w:ascii="仿宋_GB2312" w:hAnsi="Times New Roman" w:eastAsia="仿宋_GB2312" w:cs="仿宋_GB2312"/>
          <w:b w:val="0"/>
          <w:kern w:val="2"/>
          <w:sz w:val="32"/>
          <w:szCs w:val="32"/>
          <w:lang w:val="en-US" w:eastAsia="zh-CN" w:bidi="ar"/>
        </w:rPr>
        <w:t>下一步</w:t>
      </w:r>
      <w:r>
        <w:rPr>
          <w:rFonts w:hint="default" w:ascii="仿宋_GB2312" w:eastAsia="仿宋_GB2312" w:cs="仿宋_GB2312"/>
          <w:b w:val="0"/>
          <w:kern w:val="2"/>
          <w:sz w:val="32"/>
          <w:szCs w:val="32"/>
          <w:lang w:eastAsia="zh-CN" w:bidi="ar"/>
        </w:rPr>
        <w:t>，</w:t>
      </w:r>
      <w:r>
        <w:rPr>
          <w:rFonts w:hint="eastAsia" w:ascii="仿宋_GB2312" w:hAnsi="Times New Roman" w:eastAsia="仿宋_GB2312" w:cs="仿宋_GB2312"/>
          <w:kern w:val="2"/>
          <w:sz w:val="32"/>
          <w:szCs w:val="32"/>
          <w:lang w:val="en-US" w:eastAsia="zh-CN" w:bidi="ar"/>
        </w:rPr>
        <w:t>我局将进一步联合城管部门结合再生水管线布局情况，不断</w:t>
      </w:r>
      <w:r>
        <w:rPr>
          <w:rFonts w:hint="default" w:ascii="仿宋_GB2312" w:eastAsia="仿宋_GB2312" w:cs="仿宋_GB2312"/>
          <w:kern w:val="2"/>
          <w:sz w:val="32"/>
          <w:szCs w:val="32"/>
          <w:lang w:eastAsia="zh-CN" w:bidi="ar"/>
        </w:rPr>
        <w:t>扩</w:t>
      </w:r>
      <w:r>
        <w:rPr>
          <w:rFonts w:hint="eastAsia" w:ascii="仿宋_GB2312" w:hAnsi="Times New Roman" w:eastAsia="仿宋_GB2312" w:cs="仿宋_GB2312"/>
          <w:kern w:val="2"/>
          <w:sz w:val="32"/>
          <w:szCs w:val="32"/>
          <w:lang w:val="en-US" w:eastAsia="zh-CN" w:bidi="ar"/>
        </w:rPr>
        <w:t>大我市市政道路及附属绿地、公园、垃圾转运站非常规水的使用范围</w:t>
      </w:r>
      <w:r>
        <w:rPr>
          <w:rFonts w:hint="default" w:ascii="仿宋_GB2312" w:eastAsia="仿宋_GB2312" w:cs="仿宋_GB2312"/>
          <w:kern w:val="2"/>
          <w:sz w:val="32"/>
          <w:szCs w:val="32"/>
          <w:lang w:eastAsia="zh-CN" w:bidi="ar"/>
        </w:rPr>
        <w:t>，持续提高其</w:t>
      </w:r>
      <w:r>
        <w:rPr>
          <w:rFonts w:hint="eastAsia" w:ascii="仿宋_GB2312" w:hAnsi="Times New Roman" w:eastAsia="仿宋_GB2312" w:cs="仿宋_GB2312"/>
          <w:kern w:val="2"/>
          <w:sz w:val="32"/>
          <w:szCs w:val="32"/>
          <w:lang w:val="en-US" w:eastAsia="zh-CN" w:bidi="ar"/>
        </w:rPr>
        <w:t>替代比例。</w:t>
      </w:r>
    </w:p>
    <w:p w14:paraId="26BA82DE">
      <w:pPr>
        <w:keepNext w:val="0"/>
        <w:keepLines w:val="0"/>
        <w:widowControl w:val="0"/>
        <w:suppressLineNumbers w:val="0"/>
        <w:spacing w:before="0" w:beforeAutospacing="0" w:after="0" w:afterAutospacing="0" w:line="560" w:lineRule="exact"/>
        <w:ind w:left="0" w:right="0" w:firstLine="645"/>
        <w:jc w:val="both"/>
        <w:rPr>
          <w:rFonts w:hint="eastAsia" w:ascii="仿宋_GB2312"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此函。</w:t>
      </w:r>
    </w:p>
    <w:p w14:paraId="4ACD7527">
      <w:pPr>
        <w:keepNext w:val="0"/>
        <w:keepLines w:val="0"/>
        <w:widowControl w:val="0"/>
        <w:suppressLineNumbers w:val="0"/>
        <w:spacing w:before="0" w:beforeAutospacing="0" w:after="0" w:afterAutospacing="0" w:line="560" w:lineRule="exact"/>
        <w:ind w:left="0" w:right="0"/>
        <w:jc w:val="both"/>
        <w:rPr>
          <w:rFonts w:hint="eastAsia" w:ascii="仿宋_GB2312"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 xml:space="preserve"> </w:t>
      </w:r>
    </w:p>
    <w:p w14:paraId="5FF70988">
      <w:pPr>
        <w:keepNext w:val="0"/>
        <w:keepLines w:val="0"/>
        <w:pageBreakBefore w:val="0"/>
        <w:widowControl w:val="0"/>
        <w:pBdr>
          <w:top w:val="none" w:color="auto" w:sz="0" w:space="0"/>
        </w:pBdr>
        <w:tabs>
          <w:tab w:val="left" w:pos="320"/>
        </w:tabs>
        <w:kinsoku/>
        <w:wordWrap/>
        <w:overflowPunct/>
        <w:topLinePunct w:val="0"/>
        <w:autoSpaceDE/>
        <w:autoSpaceDN/>
        <w:bidi w:val="0"/>
        <w:adjustRightInd/>
        <w:snapToGrid/>
        <w:spacing w:line="560" w:lineRule="exact"/>
        <w:ind w:firstLine="3840" w:firstLineChars="1200"/>
        <w:jc w:val="center"/>
        <w:textAlignment w:val="auto"/>
        <w:rPr>
          <w:rFonts w:hint="eastAsia" w:ascii="仿宋_GB2312" w:hAnsi="仿宋_GB2312" w:eastAsia="仿宋_GB2312" w:cs="仿宋_GB2312"/>
          <w:sz w:val="32"/>
          <w:szCs w:val="32"/>
        </w:rPr>
      </w:pPr>
    </w:p>
    <w:p w14:paraId="4E50D97D">
      <w:pPr>
        <w:keepNext w:val="0"/>
        <w:keepLines w:val="0"/>
        <w:pageBreakBefore w:val="0"/>
        <w:widowControl w:val="0"/>
        <w:pBdr>
          <w:top w:val="none" w:color="auto" w:sz="0" w:space="0"/>
        </w:pBdr>
        <w:tabs>
          <w:tab w:val="left" w:pos="320"/>
        </w:tabs>
        <w:kinsoku/>
        <w:wordWrap/>
        <w:overflowPunct/>
        <w:topLinePunct w:val="0"/>
        <w:autoSpaceDE/>
        <w:autoSpaceDN/>
        <w:bidi w:val="0"/>
        <w:adjustRightInd/>
        <w:snapToGrid/>
        <w:spacing w:line="560" w:lineRule="exact"/>
        <w:ind w:firstLine="3840" w:firstLineChars="1200"/>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深圳市水务局</w:t>
      </w:r>
    </w:p>
    <w:p w14:paraId="239DF240">
      <w:pPr>
        <w:keepNext w:val="0"/>
        <w:keepLines w:val="0"/>
        <w:pageBreakBefore w:val="0"/>
        <w:widowControl w:val="0"/>
        <w:pBdr>
          <w:top w:val="none" w:color="auto" w:sz="0" w:space="0"/>
        </w:pBdr>
        <w:tabs>
          <w:tab w:val="left" w:pos="320"/>
        </w:tabs>
        <w:kinsoku/>
        <w:wordWrap/>
        <w:overflowPunct/>
        <w:topLinePunct w:val="0"/>
        <w:autoSpaceDE/>
        <w:autoSpaceDN/>
        <w:bidi w:val="0"/>
        <w:adjustRightInd/>
        <w:snapToGrid/>
        <w:spacing w:line="560" w:lineRule="exact"/>
        <w:ind w:firstLine="3840" w:firstLineChars="1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11</w:t>
      </w:r>
      <w:r>
        <w:rPr>
          <w:rFonts w:hint="eastAsia" w:ascii="仿宋_GB2312" w:hAnsi="仿宋_GB2312" w:eastAsia="仿宋_GB2312" w:cs="仿宋_GB2312"/>
          <w:sz w:val="32"/>
          <w:szCs w:val="32"/>
        </w:rPr>
        <w:t>日</w:t>
      </w:r>
    </w:p>
    <w:p w14:paraId="129ABA7C">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 xml:space="preserve"> </w:t>
      </w:r>
    </w:p>
    <w:p w14:paraId="422A6790">
      <w:pPr>
        <w:spacing w:line="560" w:lineRule="exact"/>
        <w:ind w:firstLine="640" w:firstLineChars="200"/>
      </w:pPr>
    </w:p>
    <mc:AlternateContent>
      <mc:Choice Requires="wpsCustomData">
        <wpsCustomData:docfieldEnd id="0"/>
      </mc:Choice>
    </mc:AlternateContent>
    <w:p w14:paraId="1F16EAC7"/>
    <w:sectPr>
      <w:footerReference r:id="rId3" w:type="default"/>
      <w:pgSz w:w="11906" w:h="16838"/>
      <w:pgMar w:top="2098" w:right="1474" w:bottom="1984" w:left="1587" w:header="0" w:footer="1474" w:gutter="0"/>
      <w:cols w:space="720" w:num="1"/>
      <w:titlePg/>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WPSEMBED2">
    <w:panose1 w:val="02000000000000000000"/>
    <w:charset w:val="86"/>
    <w:family w:val="auto"/>
    <w:pitch w:val="default"/>
    <w:sig w:usb0="A00002BF" w:usb1="38CF7CFA" w:usb2="00082016" w:usb3="00000000" w:csb0="00040001" w:csb1="00000000"/>
  </w:font>
  <w:font w:name="WPSEMBED1">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D8556">
    <w:pPr>
      <w:pStyle w:val="2"/>
      <w:framePr w:wrap="around" w:vAnchor="text" w:hAnchor="margin" w:xAlign="outside" w:y="1"/>
      <w:rPr>
        <w:rStyle w:val="7"/>
        <w:rFonts w:ascii="宋体" w:hAnsi="宋体"/>
        <w:color w:val="FFFFFF"/>
        <w:sz w:val="28"/>
        <w:szCs w:val="28"/>
      </w:rPr>
    </w:pPr>
    <w:bookmarkStart w:id="0" w:name="_Hlk82966"/>
    <w:bookmarkStart w:id="1" w:name="OLE_LINK6"/>
    <w:bookmarkStart w:id="2" w:name="OLE_LINK1"/>
    <w:bookmarkStart w:id="3" w:name="OLE_LINK5"/>
    <w:bookmarkStart w:id="4" w:name="OLE_LINK20"/>
    <w:r>
      <w:rPr>
        <w:rStyle w:val="7"/>
        <w:rFonts w:hint="eastAsia" w:ascii="宋体" w:hAnsi="宋体"/>
        <w:color w:val="FFFFFF"/>
        <w:sz w:val="28"/>
        <w:szCs w:val="28"/>
      </w:rPr>
      <w:t>—</w:t>
    </w: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1</w:t>
    </w:r>
    <w:r>
      <w:rPr>
        <w:rFonts w:ascii="宋体" w:hAnsi="宋体"/>
        <w:sz w:val="28"/>
        <w:szCs w:val="28"/>
      </w:rPr>
      <w:fldChar w:fldCharType="end"/>
    </w:r>
    <w:r>
      <w:rPr>
        <w:rStyle w:val="7"/>
        <w:rFonts w:hint="eastAsia" w:ascii="宋体" w:hAnsi="宋体"/>
        <w:sz w:val="28"/>
        <w:szCs w:val="28"/>
      </w:rPr>
      <w:t xml:space="preserve"> —</w:t>
    </w:r>
    <w:r>
      <w:rPr>
        <w:rStyle w:val="7"/>
        <w:rFonts w:hint="eastAsia" w:ascii="宋体" w:hAnsi="宋体"/>
        <w:color w:val="FFFFFF"/>
        <w:sz w:val="28"/>
        <w:szCs w:val="28"/>
      </w:rPr>
      <w:t>—</w:t>
    </w:r>
  </w:p>
  <w:bookmarkEnd w:id="0"/>
  <w:bookmarkEnd w:id="1"/>
  <w:bookmarkEnd w:id="2"/>
  <w:bookmarkEnd w:id="3"/>
  <w:bookmarkEnd w:id="4"/>
  <w:p w14:paraId="5BAEEE5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hyphenationZone w:val="36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DA5E30"/>
    <w:rsid w:val="27ED96C5"/>
    <w:rsid w:val="2D0D6852"/>
    <w:rsid w:val="2FB468A5"/>
    <w:rsid w:val="37FFC241"/>
    <w:rsid w:val="3BFFE2BC"/>
    <w:rsid w:val="3EAB0813"/>
    <w:rsid w:val="3FFE56A8"/>
    <w:rsid w:val="77F7173B"/>
    <w:rsid w:val="B2778931"/>
    <w:rsid w:val="EFFE397C"/>
    <w:rsid w:val="F3FF41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szCs w:val="21"/>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2896</Words>
  <Characters>2984</Characters>
  <Lines>1</Lines>
  <Paragraphs>1</Paragraphs>
  <TotalTime>6</TotalTime>
  <ScaleCrop>false</ScaleCrop>
  <LinksUpToDate>false</LinksUpToDate>
  <CharactersWithSpaces>2989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2024-04-08T23:02:00Z</dcterms:created>
  <dc:creator>小金</dc:creator>
  <cp:lastModifiedBy>か葉葉&amp; </cp:lastModifiedBy>
  <dcterms:modified xsi:type="dcterms:W3CDTF">2026-01-04T02:20:13Z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27293271C3C566033D4A4A68B706B744</vt:lpwstr>
  </property>
  <property fmtid="{D5CDD505-2E9C-101B-9397-08002B2CF9AE}" pid="4" name="KSOTemplateDocerSaveRecord">
    <vt:lpwstr>eyJoZGlkIjoiZDRlMjcxYzhhZjkyY2RhODhmMTk2NGI1NzdmYWFhYTkiLCJ1c2VySWQiOiI4OTE0MDE2NDYifQ==</vt:lpwstr>
  </property>
  <property fmtid="{D5CDD505-2E9C-101B-9397-08002B2CF9AE}" pid="5" name="Content">
    <vt:lpwstr>A类 公开方式：公开深圳市水务局关于市人大七届六次会议第20250249号建议答复的函 李继朝等代表：你们提出的《关于加强饮用水节约和建筑工地基坑水利用的建议》（第20250249号）收悉。经研究，答复如下：一、办理过程为响应代表建议，加强我市节约用水工作，提高建筑工地基坑水循环利用率，我局一是积极与市教育、工信、住建、商务、文旅、卫健、城管、机关事务管理等相关部门沟通，梳理汇总各部门节约用水工作开展情况，对照代表建议提出下一步工作落实举措；二是积极探索建筑工地基坑水回用及智慧管理调度，在全市多个建筑工地推广建筑数字共享工地节水技术。联合市生态、住建、交通、城管、建筑工务署等行业主管部门，通过走访、调研、座谈、会议等形式鼓励推动生产建设项目、施工单位将基坑水沉淀处理后进行循环利用。二、具体建议办理情况（一）关于“对饮用水实施节约用水单位示范案例优选、奖励和推广”的建议，落实情况如下：一是开展节水载体标准化建设。我局制定地方标准《节水载体评价规范》，指导各领域用水单位开展节水载体标准化建设。联合市工业和信息化局每年开展遴选工作，全市共有青岛啤酒朝日有限公司、TCL华星光电技术有限公司等11家工业企业建成省级节水标杆企业；福田区机关事务管理局、萨米医疗中心、深圳海关、龙华区实验学校教育集团等4家单位获评国家2024-2026年度“公共机构水效领跑者”称号，树立了一批优秀节水标杆。二是制定实行节约用水奖励政策，激发单位和个人节水积极性和主动性。我局与市财政局联合印发《深圳市节约用水奖励办法》，对在我市节约用水工作中作出突出贡献和取得明显成效的单位或者个人给予奖励，截至目前已累计发放奖励6000万元，有效带动和激励全社会自觉开展节水工作。《深圳市节约用水奖励办法》有效期已届满，目前我局正在组织开展修订，将进一步优化奖励政策，对非常规水资源利用、节水标杆建设等方面给予奖励支持，进一步完善节水奖励机制。三是全面推广使用节水型工艺、设备、器具等，不断提高节水效能。我局联合市住建、市监部门连续19年开展节水型工艺、设备、器具名录遴选，累计公开向社会发布700余项产品，涵盖节水器具、智慧节水、园林节水、污水再生利用、建筑工地黄泥水处理回用等领域；优选智慧移动厕所系统、建筑数字共享工地节水技术、管道检测机器人、电子行业循环利用减排实践等4个案例入选2025广东十大节水典型案例。联合市机关事务管理局针对全市700余家公共机构开展节水器具普及更新工作，要求公共机构改造后的用水器具、新购置用水器具必须达到2级以上水效标准，优先推荐使用国家、省、市节水工艺、技术、设备名录中的产品。下一步，我局将联合市住建、市监部门继续开展节水型工艺、设备、器具名录遴选，在节水器具、智慧节水、园林节水、污水再生利用、建筑工地基坑水回用等领域广泛征集推广优秀节水技术设备器具。四是强化全市用水单位计划用水管理，2024年我市实现对年用水量1万立方米及以上单位用户计划用水管理全覆盖，做到应管尽管、分级分类管理。更新公布全市重点监控用水单位名录，加强对年用水量50万立方米以上的用水单位及高耗水行业企业的管理，2024年对监控名录单位及重点用水单位开展节约用水检查850余家次，组织开展节水载体建设工作培训、节约用水条例宣贯、公共机构节约用水工作培训等多种形式的培训共50次，指导单位用户在计量设施运行维护、年度用水计划执行、节水设施与节水宣传等方面优化完善节约用水方案和措施，提高节水管理水平。（二）关于“要求每个工地建设循环用水水箱，在满足工地自己清洁用水同时可以对外提供基坑中水用于环卫清洁，节水自来水的试用”的建议，落实情况如下：我局鼓励工地基坑水处理及循环利用系统建设，探索将工地基坑黄泥水、冲洗废水进行循环再生利用，其中智慧黄泥水净化回用一体机等建筑工地基坑黄泥水处理设备入选《深圳市2024年度节水型工艺（技术）、设备、器具名录（总第十九期）》。目前我市已有144个项目安装基坑水、冲洗废水、黄泥水泥水分离设施，沉淀过滤后的水用于冲洗车辆、喷洒路面等。同时，积极推广市政再生水用于道路冲洗和绿化浇洒，截至2024年底，全市已根据再生水管线布局情况建成170个再生水车载取水点，每年联合市城管部门、区水务部门向各区环卫绿化管养单位公布再生水取水点清单。下一步，我局将联合各行业主管部门总结试点经验，逐步推广基坑水处理及循环利用系统；进一步加强调查研究，持续推广有关创新技术，探索净化后的工地废水循环利用途径和使用范围、场景；联合市住建部门、区水务部门充分利用基坑水，完善基坑水取水点建设，联合市城管部门借助建筑数字共享工地节水系统公布全市基坑水取水点信息，鼓励环卫绿化管养单位积极使用基坑水；持续强化宣传工作，提升生产建设项目参建单位基坑循环水节约和使用意识。（三）关于“搭建全市建筑工地基坑水回用智慧管理调度平台，并接入全市智慧水务系统管理，同时限制道路绿化清洁使用自来水”的建议，落实情况如下：我市积极探索建筑工地基坑水回用及智慧管理调度，在福田区万云大厦、南山区OPPO国际总部项目建筑工地、龙岗区深惠城际2标（五和-坪地）土建五工区龙城站万象天成工段等多个建筑工地启用建筑数字共享工地节水技术。该技术由深圳市云科节能环保科技有限公司开发，创新研发数字共享节水型工地系统，通过黄泥水净化技术使废水处理后达到城市杂用标准，实现日均再生水产量近500吨。该技术借助大数据平台构建“处理-监督-储运-调度”一体化管理模式，同步降低建筑工地自来水消耗与排污支出，形成“节水减污-降本增效”双重闭环。建筑数字共享工地节水技术已入选2025广东十大节水典型案例，相关经验做法为全省各地各领域推进节水工作树立了标杆。下一步，我局将联合市住房建设局加强推广建筑工地基坑水回用及智慧管理调度系统，在市场形成一定使用规模的基础上，深入调研建筑工地基坑水回用需求及可回用量，探索建立基坑水回用管理机制，完善管理要求，在此基础上研究统筹搭建全市建筑工地基坑水回用指挥管理调度平台，科学调度使用全市建筑工地基坑回用水。2024年4月，经市政府同意，我局与市发展改革委、市财政局等10部门联合印发了《深圳市污水资源化利用行动方案》，其中明确“强制要求市政道路附属绿地绿化浇洒、市政道路冲洗采用再生水、雨水资源”。截至2024年底，全市已实现建成区5公里半径范围内取水点全覆盖，90%以上市政道路冲洗及附属绿地浇洒使用再生水替代，用于市政杂用方面再生水替代常规水量达2700万立方米，即每年直接节约2700万立方米自来水。下一步，我局将进一步联合城管部门结合再生水管线布局情况，不断扩大我市市政道路及附属绿地、公园、垃圾转运站非常规水的使用范围，持续提高其替代比例。此函。 深圳市水务局2025年6月11日 （联系人：刘晓霞，联系电话：13480152177）</vt:lpwstr>
  </property>
</Properties>
</file>