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334AA">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lang w:val="en-GB"/>
        </w:rPr>
      </w:pPr>
    </w:p>
    <w:p w14:paraId="722E289E">
      <w:pPr>
        <w:spacing w:line="560" w:lineRule="exact"/>
        <w:jc w:val="right"/>
        <w:rPr>
          <w:rFonts w:hint="default" w:ascii="黑体" w:hAnsi="黑体" w:eastAsia="黑体" w:cs="黑体"/>
          <w:sz w:val="28"/>
          <w:szCs w:val="28"/>
          <w:lang w:val="en-US" w:eastAsia="zh-CN"/>
        </w:rPr>
      </w:pPr>
      <mc:AlternateContent>
        <mc:Choice Requires="wpsCustomData">
          <wpsCustomData:docfieldStart id="0" docfieldname="Content" hidden="0" print="1" readonly="0" index="1"/>
        </mc:Choice>
      </mc:AlternateContent>
      <w:r>
        <w:rPr>
          <w:rFonts w:hint="eastAsia" w:ascii="黑体" w:eastAsia="黑体" w:cs="黑体"/>
          <w:sz w:val="28"/>
          <w:szCs w:val="28"/>
          <w:bdr w:val="single" w:color="auto" w:sz="4" w:space="0"/>
          <w:lang w:val="en-US" w:eastAsia="zh-CN"/>
        </w:rPr>
        <w:t>B</w:t>
      </w:r>
      <w:r>
        <w:rPr>
          <w:rFonts w:hint="eastAsia" w:ascii="黑体" w:eastAsia="黑体" w:cs="黑体"/>
          <w:sz w:val="28"/>
          <w:szCs w:val="28"/>
          <w:lang w:val="en-US" w:eastAsia="zh-CN"/>
        </w:rPr>
        <w:t xml:space="preserve">类 </w:t>
      </w:r>
      <w:r>
        <w:rPr>
          <w:rFonts w:hint="eastAsia" w:ascii="黑体" w:eastAsia="黑体" w:cs="黑体"/>
          <w:sz w:val="28"/>
          <w:szCs w:val="28"/>
        </w:rPr>
        <w:t>公开方式：公开</w:t>
      </w:r>
    </w:p>
    <w:p w14:paraId="71E52F94">
      <w:pPr>
        <w:spacing w:line="560" w:lineRule="exact"/>
        <w:jc w:val="center"/>
        <w:outlineLvl w:val="0"/>
        <w:rPr>
          <w:rFonts w:hint="eastAsia" w:ascii="方正小标宋_GBK" w:hAnsi="方正小标宋_GBK" w:eastAsia="方正小标宋_GBK" w:cs="方正小标宋_GBK"/>
          <w:sz w:val="44"/>
          <w:szCs w:val="44"/>
          <w:lang w:eastAsia="zh-CN"/>
        </w:rPr>
      </w:pPr>
    </w:p>
    <w:p w14:paraId="36B70692">
      <w:pPr>
        <w:spacing w:line="560" w:lineRule="exact"/>
        <w:jc w:val="center"/>
        <w:outlineLvl w:val="0"/>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sz w:val="44"/>
          <w:szCs w:val="44"/>
          <w:lang w:eastAsia="zh-CN"/>
        </w:rPr>
        <w:t>深圳市水务局</w:t>
      </w:r>
      <w:r>
        <w:rPr>
          <w:rFonts w:hint="eastAsia" w:ascii="方正小标宋_GBK" w:hAnsi="方正小标宋_GBK" w:eastAsia="方正小标宋_GBK" w:cs="方正小标宋_GBK"/>
          <w:color w:val="000000"/>
          <w:sz w:val="44"/>
          <w:szCs w:val="44"/>
        </w:rPr>
        <w:t>关于市人大</w:t>
      </w:r>
      <w:r>
        <w:rPr>
          <w:rFonts w:hint="eastAsia" w:ascii="方正小标宋_GBK" w:hAnsi="方正小标宋_GBK" w:eastAsia="方正小标宋_GBK" w:cs="方正小标宋_GBK"/>
          <w:color w:val="000000"/>
          <w:sz w:val="44"/>
          <w:szCs w:val="44"/>
          <w:lang w:val="en-US" w:eastAsia="zh-CN"/>
        </w:rPr>
        <w:t>七</w:t>
      </w:r>
      <w:r>
        <w:rPr>
          <w:rFonts w:hint="eastAsia" w:ascii="方正小标宋_GBK" w:hAnsi="方正小标宋_GBK" w:eastAsia="方正小标宋_GBK" w:cs="方正小标宋_GBK"/>
          <w:color w:val="000000"/>
          <w:sz w:val="44"/>
          <w:szCs w:val="44"/>
        </w:rPr>
        <w:t>届</w:t>
      </w:r>
      <w:r>
        <w:rPr>
          <w:rFonts w:hint="eastAsia" w:ascii="方正小标宋_GBK" w:hAnsi="方正小标宋_GBK" w:eastAsia="方正小标宋_GBK" w:cs="方正小标宋_GBK"/>
          <w:color w:val="000000"/>
          <w:sz w:val="44"/>
          <w:szCs w:val="44"/>
          <w:lang w:val="en-US" w:eastAsia="zh-CN"/>
        </w:rPr>
        <w:t>六</w:t>
      </w:r>
      <w:r>
        <w:rPr>
          <w:rFonts w:hint="eastAsia" w:ascii="方正小标宋_GBK" w:hAnsi="方正小标宋_GBK" w:eastAsia="方正小标宋_GBK" w:cs="方正小标宋_GBK"/>
          <w:color w:val="000000"/>
          <w:sz w:val="44"/>
          <w:szCs w:val="44"/>
        </w:rPr>
        <w:t>次会议</w:t>
      </w:r>
    </w:p>
    <w:p w14:paraId="7865B574">
      <w:pPr>
        <w:spacing w:line="560" w:lineRule="exact"/>
        <w:jc w:val="center"/>
        <w:outlineLvl w:val="0"/>
        <w:rPr>
          <w:rFonts w:hint="eastAsia" w:ascii="方正小标宋_GBK" w:hAnsi="方正小标宋_GBK" w:eastAsia="方正小标宋_GBK" w:cs="方正小标宋_GBK"/>
          <w:color w:val="FF0000"/>
          <w:sz w:val="44"/>
          <w:szCs w:val="44"/>
        </w:rPr>
      </w:pPr>
      <w:r>
        <w:rPr>
          <w:rFonts w:hint="eastAsia" w:ascii="方正小标宋_GBK" w:hAnsi="方正小标宋_GBK" w:eastAsia="方正小标宋_GBK" w:cs="方正小标宋_GBK"/>
          <w:color w:val="000000"/>
          <w:sz w:val="44"/>
          <w:szCs w:val="44"/>
        </w:rPr>
        <w:t>第</w:t>
      </w:r>
      <w:r>
        <w:rPr>
          <w:rFonts w:hint="eastAsia" w:ascii="方正小标宋_GBK" w:hAnsi="方正小标宋_GBK" w:eastAsia="方正小标宋_GBK" w:cs="方正小标宋_GBK"/>
          <w:b w:val="0"/>
          <w:color w:val="000000"/>
          <w:sz w:val="44"/>
          <w:szCs w:val="44"/>
          <w:lang w:val="en-US" w:eastAsia="zh-CN"/>
        </w:rPr>
        <w:t>20250423</w:t>
      </w:r>
      <w:r>
        <w:rPr>
          <w:rFonts w:hint="eastAsia" w:ascii="方正小标宋_GBK" w:hAnsi="方正小标宋_GBK" w:eastAsia="方正小标宋_GBK" w:cs="方正小标宋_GBK"/>
          <w:color w:val="000000"/>
          <w:sz w:val="44"/>
          <w:szCs w:val="44"/>
        </w:rPr>
        <w:t>号建议答复的函</w:t>
      </w:r>
    </w:p>
    <w:p w14:paraId="6C4F31D6">
      <w:pPr>
        <w:spacing w:line="560" w:lineRule="exact"/>
        <w:rPr>
          <w:rFonts w:ascii="仿宋_GB2312" w:eastAsia="仿宋_GB2312"/>
          <w:sz w:val="32"/>
          <w:szCs w:val="32"/>
        </w:rPr>
      </w:pPr>
    </w:p>
    <w:p w14:paraId="2FD023A0">
      <w:pPr>
        <w:spacing w:line="560" w:lineRule="exact"/>
        <w:rPr>
          <w:rFonts w:ascii="仿宋_GB2312" w:eastAsia="仿宋_GB2312"/>
          <w:sz w:val="32"/>
          <w:szCs w:val="32"/>
        </w:rPr>
      </w:pPr>
      <w:r>
        <w:rPr>
          <w:rFonts w:hint="eastAsia" w:ascii="仿宋_GB2312" w:eastAsia="仿宋_GB2312" w:cs="仿宋_GB2312"/>
          <w:sz w:val="32"/>
          <w:szCs w:val="32"/>
          <w:lang w:val="en-US" w:eastAsia="zh-CN"/>
        </w:rPr>
        <w:t>张天峰</w:t>
      </w:r>
      <w:r>
        <w:rPr>
          <w:rFonts w:hint="eastAsia" w:ascii="仿宋_GB2312" w:eastAsia="仿宋_GB2312" w:cs="仿宋_GB2312"/>
          <w:sz w:val="32"/>
          <w:szCs w:val="32"/>
        </w:rPr>
        <w:t>等代表：</w:t>
      </w:r>
    </w:p>
    <w:p w14:paraId="606825D7">
      <w:pPr>
        <w:spacing w:line="560" w:lineRule="exact"/>
        <w:ind w:firstLine="645"/>
        <w:rPr>
          <w:rFonts w:ascii="仿宋_GB2312" w:eastAsia="仿宋_GB2312"/>
          <w:sz w:val="32"/>
          <w:szCs w:val="32"/>
        </w:rPr>
      </w:pPr>
      <w:r>
        <w:rPr>
          <w:rFonts w:hint="eastAsia" w:ascii="仿宋_GB2312" w:eastAsia="仿宋_GB2312" w:cs="仿宋_GB2312"/>
          <w:sz w:val="32"/>
          <w:szCs w:val="32"/>
        </w:rPr>
        <w:t>你们提出的《关于进一步推动清林径省级水利风景区建设的建议》（第20250423号）收悉</w:t>
      </w:r>
      <w:bookmarkStart w:id="5" w:name="_GoBack"/>
      <w:bookmarkEnd w:id="5"/>
      <w:r>
        <w:rPr>
          <w:rFonts w:hint="eastAsia" w:ascii="仿宋_GB2312" w:eastAsia="仿宋_GB2312" w:cs="仿宋_GB2312"/>
          <w:sz w:val="32"/>
          <w:szCs w:val="32"/>
        </w:rPr>
        <w:t>。经研究，答复如下：</w:t>
      </w:r>
    </w:p>
    <w:p w14:paraId="38E7DDC2">
      <w:pPr>
        <w:keepNext w:val="0"/>
        <w:keepLines w:val="0"/>
        <w:widowControl w:val="0"/>
        <w:suppressLineNumbers w:val="0"/>
        <w:spacing w:beforeAutospacing="0" w:afterAutospacing="0" w:line="560" w:lineRule="exact"/>
        <w:ind w:left="0" w:right="0" w:firstLine="645"/>
        <w:jc w:val="both"/>
        <w:outlineLvl w:val="0"/>
        <w:rPr>
          <w:rFonts w:hint="eastAsia" w:ascii="黑体" w:hAnsi="宋体" w:eastAsia="黑体" w:cs="Times New Roman"/>
          <w:kern w:val="2"/>
          <w:sz w:val="32"/>
          <w:szCs w:val="32"/>
        </w:rPr>
      </w:pPr>
      <w:r>
        <w:rPr>
          <w:rFonts w:hint="eastAsia" w:ascii="黑体" w:hAnsi="宋体" w:eastAsia="黑体" w:cs="黑体"/>
          <w:kern w:val="2"/>
          <w:sz w:val="32"/>
          <w:szCs w:val="32"/>
          <w:lang w:val="en-US" w:eastAsia="zh-CN" w:bidi="ar"/>
        </w:rPr>
        <w:t>一、办理过程</w:t>
      </w:r>
    </w:p>
    <w:p w14:paraId="418CDF75">
      <w:pPr>
        <w:keepNext w:val="0"/>
        <w:keepLines w:val="0"/>
        <w:widowControl w:val="0"/>
        <w:suppressLineNumbers w:val="0"/>
        <w:spacing w:before="0" w:beforeAutospacing="0" w:after="0" w:afterAutospacing="0" w:line="560" w:lineRule="exact"/>
        <w:ind w:left="0" w:right="0" w:firstLine="645"/>
        <w:jc w:val="both"/>
        <w:rPr>
          <w:rFonts w:hint="default" w:ascii="仿宋_GB2312" w:hAnsi="Times New Roman" w:eastAsia="仿宋_GB2312" w:cs="仿宋_GB2312"/>
          <w:kern w:val="2"/>
          <w:sz w:val="32"/>
          <w:szCs w:val="32"/>
          <w:lang w:eastAsia="zh-CN" w:bidi="ar"/>
        </w:rPr>
      </w:pPr>
      <w:r>
        <w:rPr>
          <w:rFonts w:hint="eastAsia" w:ascii="仿宋_GB2312" w:hAnsi="Times New Roman" w:eastAsia="仿宋_GB2312" w:cs="仿宋_GB2312"/>
          <w:kern w:val="2"/>
          <w:sz w:val="32"/>
          <w:szCs w:val="32"/>
          <w:lang w:val="en-US" w:eastAsia="zh-CN" w:bidi="ar"/>
        </w:rPr>
        <w:t>诚如代表所言，</w:t>
      </w:r>
      <w:r>
        <w:rPr>
          <w:rFonts w:hint="eastAsia" w:ascii="仿宋_GB2312" w:eastAsia="仿宋_GB2312" w:cs="仿宋_GB2312"/>
          <w:sz w:val="32"/>
          <w:szCs w:val="32"/>
        </w:rPr>
        <w:t>清林径</w:t>
      </w:r>
      <w:r>
        <w:rPr>
          <w:rFonts w:hint="default" w:ascii="仿宋_GB2312" w:eastAsia="仿宋_GB2312" w:cs="仿宋_GB2312"/>
          <w:sz w:val="32"/>
          <w:szCs w:val="32"/>
        </w:rPr>
        <w:t>水库</w:t>
      </w:r>
      <w:r>
        <w:rPr>
          <w:rFonts w:hint="eastAsia" w:ascii="仿宋_GB2312" w:eastAsia="仿宋_GB2312" w:cs="仿宋_GB2312"/>
          <w:sz w:val="32"/>
          <w:szCs w:val="32"/>
        </w:rPr>
        <w:t>水利风景区建设</w:t>
      </w:r>
      <w:r>
        <w:rPr>
          <w:rFonts w:hint="eastAsia" w:ascii="仿宋_GB2312" w:hAnsi="Times New Roman" w:eastAsia="仿宋_GB2312" w:cs="仿宋_GB2312"/>
          <w:kern w:val="2"/>
          <w:sz w:val="32"/>
          <w:szCs w:val="32"/>
          <w:lang w:val="en-US" w:eastAsia="zh-CN" w:bidi="ar"/>
        </w:rPr>
        <w:t>存在</w:t>
      </w:r>
      <w:r>
        <w:rPr>
          <w:rFonts w:hint="eastAsia" w:ascii="仿宋_GB2312" w:hAnsi="Calibri" w:eastAsia="仿宋_GB2312" w:cs="仿宋_GB2312"/>
          <w:b w:val="0"/>
          <w:kern w:val="2"/>
          <w:sz w:val="32"/>
          <w:szCs w:val="32"/>
          <w:lang w:val="en-US" w:eastAsia="zh-CN" w:bidi="ar"/>
        </w:rPr>
        <w:t>周边资源分布零散</w:t>
      </w:r>
      <w:r>
        <w:rPr>
          <w:rFonts w:hint="default" w:ascii="仿宋_GB2312" w:hAnsi="Calibri" w:eastAsia="仿宋_GB2312" w:cs="仿宋_GB2312"/>
          <w:b w:val="0"/>
          <w:kern w:val="2"/>
          <w:sz w:val="32"/>
          <w:szCs w:val="32"/>
          <w:lang w:eastAsia="zh-CN" w:bidi="ar"/>
        </w:rPr>
        <w:t>、</w:t>
      </w:r>
      <w:r>
        <w:rPr>
          <w:rFonts w:hint="eastAsia" w:ascii="仿宋_GB2312" w:hAnsi="Calibri" w:eastAsia="仿宋_GB2312" w:cs="仿宋_GB2312"/>
          <w:b w:val="0"/>
          <w:kern w:val="2"/>
          <w:sz w:val="32"/>
          <w:szCs w:val="32"/>
          <w:lang w:val="en-US" w:eastAsia="zh-CN" w:bidi="ar"/>
        </w:rPr>
        <w:t>缺乏整体规划与开发</w:t>
      </w:r>
      <w:r>
        <w:rPr>
          <w:rFonts w:hint="default" w:ascii="仿宋_GB2312" w:hAnsi="Calibri" w:eastAsia="仿宋_GB2312" w:cs="仿宋_GB2312"/>
          <w:b w:val="0"/>
          <w:kern w:val="2"/>
          <w:sz w:val="32"/>
          <w:szCs w:val="32"/>
          <w:lang w:eastAsia="zh-CN" w:bidi="ar"/>
        </w:rPr>
        <w:t>、</w:t>
      </w:r>
      <w:r>
        <w:rPr>
          <w:rFonts w:hint="eastAsia" w:ascii="仿宋_GB2312" w:hAnsi="Calibri" w:eastAsia="仿宋_GB2312" w:cs="仿宋_GB2312"/>
          <w:b w:val="0"/>
          <w:kern w:val="2"/>
          <w:sz w:val="32"/>
          <w:szCs w:val="32"/>
          <w:lang w:val="en-US" w:eastAsia="zh-CN" w:bidi="ar"/>
        </w:rPr>
        <w:t>景区效应未能充分发挥</w:t>
      </w:r>
      <w:r>
        <w:rPr>
          <w:rFonts w:hint="default" w:ascii="仿宋_GB2312" w:hAnsi="Calibri" w:eastAsia="仿宋_GB2312" w:cs="仿宋_GB2312"/>
          <w:b w:val="0"/>
          <w:kern w:val="2"/>
          <w:sz w:val="32"/>
          <w:szCs w:val="32"/>
          <w:lang w:eastAsia="zh-CN" w:bidi="ar"/>
        </w:rPr>
        <w:t>等</w:t>
      </w:r>
      <w:r>
        <w:rPr>
          <w:rFonts w:hint="eastAsia" w:ascii="仿宋_GB2312" w:hAnsi="Times New Roman" w:eastAsia="仿宋_GB2312" w:cs="仿宋_GB2312"/>
          <w:kern w:val="2"/>
          <w:sz w:val="32"/>
          <w:szCs w:val="32"/>
          <w:lang w:val="en-US" w:eastAsia="zh-CN" w:bidi="ar"/>
        </w:rPr>
        <w:t>问题。</w:t>
      </w:r>
      <w:r>
        <w:rPr>
          <w:rFonts w:hint="default" w:ascii="仿宋_GB2312" w:eastAsia="仿宋_GB2312" w:cs="仿宋_GB2312"/>
          <w:kern w:val="2"/>
          <w:sz w:val="32"/>
          <w:szCs w:val="32"/>
          <w:lang w:eastAsia="zh-CN" w:bidi="ar"/>
        </w:rPr>
        <w:t>对此</w:t>
      </w:r>
      <w:r>
        <w:rPr>
          <w:rFonts w:hint="default" w:ascii="仿宋_GB2312" w:hAnsi="Times New Roman" w:eastAsia="仿宋_GB2312" w:cs="仿宋_GB2312"/>
          <w:kern w:val="2"/>
          <w:sz w:val="32"/>
          <w:szCs w:val="32"/>
          <w:lang w:eastAsia="zh-CN" w:bidi="ar"/>
        </w:rPr>
        <w:t>，我局与龙岗区政府开展了多轮现场调研和座谈，共同研究制定</w:t>
      </w:r>
      <w:r>
        <w:rPr>
          <w:rFonts w:hint="eastAsia" w:ascii="仿宋_GB2312" w:eastAsia="仿宋_GB2312" w:cs="仿宋_GB2312"/>
          <w:sz w:val="32"/>
          <w:szCs w:val="32"/>
        </w:rPr>
        <w:t>清林径</w:t>
      </w:r>
      <w:r>
        <w:rPr>
          <w:rFonts w:hint="eastAsia" w:ascii="仿宋_GB2312" w:hAnsi="Times New Roman" w:eastAsia="仿宋_GB2312" w:cs="仿宋_GB2312"/>
          <w:sz w:val="32"/>
          <w:szCs w:val="32"/>
        </w:rPr>
        <w:t>水库</w:t>
      </w:r>
      <w:r>
        <w:rPr>
          <w:rFonts w:hint="default" w:ascii="仿宋_GB2312" w:eastAsia="仿宋_GB2312" w:cs="仿宋_GB2312"/>
          <w:sz w:val="32"/>
          <w:szCs w:val="32"/>
        </w:rPr>
        <w:t>水利风</w:t>
      </w:r>
      <w:r>
        <w:rPr>
          <w:rFonts w:hint="default" w:ascii="仿宋_GB2312" w:hAnsi="Times New Roman" w:eastAsia="仿宋_GB2312" w:cs="仿宋_GB2312"/>
          <w:kern w:val="2"/>
          <w:sz w:val="32"/>
          <w:szCs w:val="32"/>
          <w:lang w:eastAsia="zh-CN" w:bidi="ar"/>
        </w:rPr>
        <w:t>景区整体规划</w:t>
      </w:r>
      <w:r>
        <w:rPr>
          <w:rFonts w:hint="default" w:ascii="仿宋_GB2312" w:eastAsia="仿宋_GB2312" w:cs="仿宋_GB2312"/>
          <w:kern w:val="2"/>
          <w:sz w:val="32"/>
          <w:szCs w:val="32"/>
          <w:lang w:eastAsia="zh-CN" w:bidi="ar"/>
        </w:rPr>
        <w:t>以及</w:t>
      </w:r>
      <w:r>
        <w:rPr>
          <w:rFonts w:hint="default" w:ascii="仿宋_GB2312" w:hAnsi="Times New Roman" w:eastAsia="仿宋_GB2312" w:cs="仿宋_GB2312"/>
          <w:kern w:val="2"/>
          <w:sz w:val="32"/>
          <w:szCs w:val="32"/>
          <w:lang w:eastAsia="zh-CN" w:bidi="ar"/>
        </w:rPr>
        <w:t>生态惠民利用、</w:t>
      </w:r>
      <w:r>
        <w:rPr>
          <w:rFonts w:hint="default" w:ascii="仿宋_GB2312" w:hAnsi="Times New Roman" w:eastAsia="仿宋_GB2312" w:cs="仿宋_GB2312"/>
          <w:b w:val="0"/>
          <w:sz w:val="32"/>
          <w:szCs w:val="32"/>
          <w:lang w:val="en-US" w:eastAsia="zh-CN" w:bidi="ar"/>
        </w:rPr>
        <w:t>发展水库经济</w:t>
      </w:r>
      <w:r>
        <w:rPr>
          <w:rFonts w:hint="default" w:ascii="仿宋_GB2312" w:hAnsi="Times New Roman" w:eastAsia="仿宋_GB2312" w:cs="仿宋_GB2312"/>
          <w:b w:val="0"/>
          <w:sz w:val="32"/>
          <w:szCs w:val="32"/>
          <w:lang w:eastAsia="zh-CN" w:bidi="ar"/>
        </w:rPr>
        <w:t>等</w:t>
      </w:r>
      <w:r>
        <w:rPr>
          <w:rFonts w:hint="default" w:ascii="仿宋_GB2312" w:hAnsi="Times New Roman" w:eastAsia="仿宋_GB2312" w:cs="仿宋_GB2312"/>
          <w:kern w:val="2"/>
          <w:sz w:val="32"/>
          <w:szCs w:val="32"/>
          <w:lang w:eastAsia="zh-CN" w:bidi="ar"/>
        </w:rPr>
        <w:t>措施。</w:t>
      </w:r>
    </w:p>
    <w:p w14:paraId="0E376182">
      <w:pPr>
        <w:keepNext w:val="0"/>
        <w:keepLines w:val="0"/>
        <w:widowControl w:val="0"/>
        <w:suppressLineNumbers w:val="0"/>
        <w:spacing w:beforeAutospacing="0" w:afterAutospacing="0" w:line="560" w:lineRule="exact"/>
        <w:ind w:left="0" w:right="0"/>
        <w:jc w:val="both"/>
      </w:pPr>
      <w:r>
        <w:rPr>
          <w:rFonts w:hint="default" w:ascii="黑体" w:hAnsi="宋体" w:eastAsia="黑体" w:cs="黑体"/>
          <w:kern w:val="2"/>
          <w:sz w:val="32"/>
          <w:szCs w:val="32"/>
          <w:lang w:eastAsia="zh-CN" w:bidi="ar"/>
        </w:rPr>
        <w:t xml:space="preserve">    </w:t>
      </w:r>
      <w:r>
        <w:rPr>
          <w:rFonts w:hint="eastAsia" w:ascii="黑体" w:hAnsi="宋体" w:eastAsia="黑体" w:cs="黑体"/>
          <w:kern w:val="2"/>
          <w:sz w:val="32"/>
          <w:szCs w:val="32"/>
          <w:lang w:val="en-US" w:eastAsia="zh-CN" w:bidi="ar"/>
        </w:rPr>
        <w:t>二、具体建议办理情况</w:t>
      </w:r>
    </w:p>
    <w:p w14:paraId="57A207A4">
      <w:pPr>
        <w:tabs>
          <w:tab w:val="left" w:pos="1843"/>
        </w:tabs>
        <w:spacing w:line="560" w:lineRule="exact"/>
        <w:ind w:firstLine="645"/>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关于“上下一体联动，推进景区规划建设”的建议，答复如下：</w:t>
      </w:r>
    </w:p>
    <w:p w14:paraId="5A87C064">
      <w:pPr>
        <w:spacing w:line="560" w:lineRule="exact"/>
        <w:ind w:firstLine="645"/>
        <w:rPr>
          <w:rFonts w:hint="eastAsia" w:ascii="仿宋_GB2312" w:eastAsia="仿宋_GB2312" w:cs="仿宋_GB2312"/>
          <w:sz w:val="32"/>
          <w:szCs w:val="32"/>
        </w:rPr>
      </w:pPr>
      <w:r>
        <w:rPr>
          <w:rFonts w:hint="eastAsia" w:ascii="仿宋_GB2312" w:hAnsi="Times New Roman" w:eastAsia="仿宋_GB2312" w:cs="仿宋_GB2312"/>
          <w:sz w:val="32"/>
          <w:szCs w:val="32"/>
        </w:rPr>
        <w:t>我局积极联系龙岗区政府，参考借鉴深圳水库、光明湖水利风景区的</w:t>
      </w:r>
      <w:r>
        <w:rPr>
          <w:rFonts w:hint="default" w:ascii="仿宋_GB2312" w:eastAsia="仿宋_GB2312" w:cs="仿宋_GB2312"/>
          <w:sz w:val="32"/>
          <w:szCs w:val="32"/>
        </w:rPr>
        <w:t>建设</w:t>
      </w:r>
      <w:r>
        <w:rPr>
          <w:rFonts w:hint="eastAsia" w:ascii="仿宋_GB2312" w:hAnsi="Times New Roman" w:eastAsia="仿宋_GB2312" w:cs="仿宋_GB2312"/>
          <w:sz w:val="32"/>
          <w:szCs w:val="32"/>
        </w:rPr>
        <w:t>经验，建议加快完善景区周边配套设施建设，提升周边城市环境景观。下一步，我局将按照水利风景区建设规划抓好组织实施，积极联系市</w:t>
      </w:r>
      <w:r>
        <w:rPr>
          <w:rFonts w:hint="default" w:ascii="仿宋_GB2312" w:eastAsia="仿宋_GB2312" w:cs="仿宋_GB2312"/>
          <w:sz w:val="32"/>
          <w:szCs w:val="32"/>
        </w:rPr>
        <w:t>发展改革委</w:t>
      </w:r>
      <w:r>
        <w:rPr>
          <w:rFonts w:hint="eastAsia" w:ascii="仿宋_GB2312" w:hAnsi="Times New Roman" w:eastAsia="仿宋_GB2312" w:cs="仿宋_GB2312"/>
          <w:sz w:val="32"/>
          <w:szCs w:val="32"/>
        </w:rPr>
        <w:t>、市财政局、市城管</w:t>
      </w:r>
      <w:r>
        <w:rPr>
          <w:rFonts w:hint="default" w:ascii="仿宋_GB2312" w:eastAsia="仿宋_GB2312" w:cs="仿宋_GB2312"/>
          <w:sz w:val="32"/>
          <w:szCs w:val="32"/>
        </w:rPr>
        <w:t>和综合执法</w:t>
      </w:r>
      <w:r>
        <w:rPr>
          <w:rFonts w:hint="eastAsia" w:ascii="仿宋_GB2312" w:hAnsi="Times New Roman" w:eastAsia="仿宋_GB2312" w:cs="仿宋_GB2312"/>
          <w:sz w:val="32"/>
          <w:szCs w:val="32"/>
        </w:rPr>
        <w:t>局等部门，争取相关部门对清林径水库水利风景区建设的支持，加快景区后续建设工作。</w:t>
      </w:r>
    </w:p>
    <w:p w14:paraId="211743F0">
      <w:pPr>
        <w:numPr>
          <w:ilvl w:val="-1"/>
          <w:numId w:val="0"/>
        </w:numPr>
        <w:tabs>
          <w:tab w:val="left" w:pos="1843"/>
        </w:tabs>
        <w:spacing w:line="560" w:lineRule="exact"/>
        <w:ind w:firstLine="0"/>
        <w:outlineLvl w:val="1"/>
        <w:rPr>
          <w:rFonts w:hint="eastAsia" w:ascii="楷体_GB2312" w:hAnsi="楷体_GB2312" w:eastAsia="楷体_GB2312" w:cs="楷体_GB2312"/>
          <w:sz w:val="32"/>
          <w:szCs w:val="32"/>
        </w:rPr>
      </w:pPr>
      <w:r>
        <w:rPr>
          <w:rFonts w:hint="default" w:ascii="黑体" w:hAnsi="黑体" w:eastAsia="黑体" w:cs="黑体"/>
          <w:sz w:val="32"/>
          <w:szCs w:val="32"/>
        </w:rPr>
        <w:t xml:space="preserve">   </w:t>
      </w:r>
      <w:r>
        <w:rPr>
          <w:rFonts w:hint="eastAsia" w:ascii="楷体_GB2312" w:hAnsi="楷体_GB2312" w:eastAsia="楷体_GB2312" w:cs="楷体_GB2312"/>
          <w:sz w:val="32"/>
          <w:szCs w:val="32"/>
        </w:rPr>
        <w:t xml:space="preserve"> （二）</w:t>
      </w:r>
      <w:r>
        <w:rPr>
          <w:rFonts w:hint="eastAsia" w:ascii="楷体_GB2312" w:hAnsi="楷体_GB2312" w:eastAsia="楷体_GB2312" w:cs="楷体_GB2312"/>
          <w:sz w:val="32"/>
          <w:szCs w:val="32"/>
        </w:rPr>
        <w:t>关于“</w:t>
      </w:r>
      <w:r>
        <w:rPr>
          <w:rFonts w:hint="eastAsia" w:ascii="楷体_GB2312" w:hAnsi="楷体_GB2312" w:eastAsia="楷体_GB2312" w:cs="楷体_GB2312"/>
          <w:b w:val="0"/>
          <w:sz w:val="32"/>
          <w:szCs w:val="32"/>
          <w:lang w:val="en-US" w:eastAsia="zh-CN"/>
        </w:rPr>
        <w:t>推进轻量开发，实现生态惠民利用</w:t>
      </w:r>
      <w:r>
        <w:rPr>
          <w:rFonts w:hint="eastAsia" w:ascii="楷体_GB2312" w:hAnsi="楷体_GB2312" w:eastAsia="楷体_GB2312" w:cs="楷体_GB2312"/>
          <w:sz w:val="32"/>
          <w:szCs w:val="32"/>
        </w:rPr>
        <w:t>”的建议，答复如下：</w:t>
      </w:r>
    </w:p>
    <w:p w14:paraId="5E9691D5">
      <w:pPr>
        <w:spacing w:line="560" w:lineRule="exact"/>
        <w:ind w:firstLine="645"/>
        <w:outlineLvl w:val="9"/>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在市、区领导和各职能部门的大力支持下，清林径水库已于2025年3月经广东省水利厅认定为省级水利风景区，后续将按照水利风景区建设规划，统筹保护和发展的关系，强化水利风景区管理和安全生产，加强水利工程保护和水文化建设，在确保水利工程安全平稳运行的前提下，按照“封闭管理、分区管理、团队预约、集中参观”的模式有组织</w:t>
      </w:r>
      <w:r>
        <w:rPr>
          <w:rFonts w:hint="default" w:ascii="仿宋_GB2312" w:eastAsia="仿宋_GB2312" w:cs="仿宋_GB2312"/>
          <w:sz w:val="32"/>
          <w:szCs w:val="32"/>
        </w:rPr>
        <w:t>地</w:t>
      </w:r>
      <w:r>
        <w:rPr>
          <w:rFonts w:hint="eastAsia" w:ascii="仿宋_GB2312" w:hAnsi="Times New Roman" w:eastAsia="仿宋_GB2312" w:cs="仿宋_GB2312"/>
          <w:sz w:val="32"/>
          <w:szCs w:val="32"/>
        </w:rPr>
        <w:t>逐步开放。充分发挥水利风景区的生态效益、社会效益和经济效益。目前清林径水库已结合实际情况开放部分区域，已接待约800人次的学习调研活动。同时我局正在</w:t>
      </w:r>
      <w:r>
        <w:rPr>
          <w:rFonts w:hint="default" w:ascii="仿宋_GB2312" w:eastAsia="仿宋_GB2312" w:cs="仿宋_GB2312"/>
          <w:sz w:val="32"/>
          <w:szCs w:val="32"/>
        </w:rPr>
        <w:t>组织</w:t>
      </w:r>
      <w:r>
        <w:rPr>
          <w:rFonts w:hint="eastAsia" w:ascii="仿宋_GB2312" w:hAnsi="Times New Roman" w:eastAsia="仿宋_GB2312" w:cs="仿宋_GB2312"/>
          <w:sz w:val="32"/>
          <w:szCs w:val="32"/>
        </w:rPr>
        <w:t>开</w:t>
      </w:r>
      <w:r>
        <w:rPr>
          <w:rFonts w:hint="default" w:ascii="仿宋_GB2312" w:eastAsia="仿宋_GB2312" w:cs="仿宋_GB2312"/>
          <w:sz w:val="32"/>
          <w:szCs w:val="32"/>
        </w:rPr>
        <w:t>发</w:t>
      </w:r>
      <w:r>
        <w:rPr>
          <w:rFonts w:hint="eastAsia" w:ascii="仿宋_GB2312" w:hAnsi="Times New Roman" w:eastAsia="仿宋_GB2312" w:cs="仿宋_GB2312"/>
          <w:sz w:val="32"/>
          <w:szCs w:val="32"/>
        </w:rPr>
        <w:t>预约小程序，后续将积极推动</w:t>
      </w:r>
      <w:r>
        <w:rPr>
          <w:rFonts w:hint="default" w:ascii="仿宋_GB2312" w:eastAsia="仿宋_GB2312" w:cs="仿宋_GB2312"/>
          <w:sz w:val="32"/>
          <w:szCs w:val="32"/>
        </w:rPr>
        <w:t>风</w:t>
      </w:r>
      <w:r>
        <w:rPr>
          <w:rFonts w:hint="eastAsia" w:ascii="仿宋_GB2312" w:hAnsi="Times New Roman" w:eastAsia="仿宋_GB2312" w:cs="仿宋_GB2312"/>
          <w:sz w:val="32"/>
          <w:szCs w:val="32"/>
        </w:rPr>
        <w:t>景区</w:t>
      </w:r>
      <w:r>
        <w:rPr>
          <w:rFonts w:hint="default" w:ascii="仿宋_GB2312" w:eastAsia="仿宋_GB2312" w:cs="仿宋_GB2312"/>
          <w:sz w:val="32"/>
          <w:szCs w:val="32"/>
        </w:rPr>
        <w:t>有序</w:t>
      </w:r>
      <w:r>
        <w:rPr>
          <w:rFonts w:hint="eastAsia" w:ascii="仿宋_GB2312" w:hAnsi="Times New Roman" w:eastAsia="仿宋_GB2312" w:cs="仿宋_GB2312"/>
          <w:sz w:val="32"/>
          <w:szCs w:val="32"/>
        </w:rPr>
        <w:t>开放。</w:t>
      </w:r>
    </w:p>
    <w:p w14:paraId="112A4686">
      <w:pPr>
        <w:numPr>
          <w:ilvl w:val="-1"/>
          <w:numId w:val="0"/>
        </w:numPr>
        <w:tabs>
          <w:tab w:val="left" w:pos="1843"/>
        </w:tabs>
        <w:spacing w:line="560" w:lineRule="exact"/>
        <w:ind w:firstLine="0"/>
        <w:outlineLvl w:val="1"/>
        <w:rPr>
          <w:rFonts w:hint="eastAsia" w:ascii="楷体_GB2312" w:hAnsi="楷体_GB2312" w:eastAsia="楷体_GB2312" w:cs="楷体_GB2312"/>
          <w:sz w:val="32"/>
          <w:szCs w:val="32"/>
        </w:rPr>
      </w:pPr>
      <w:r>
        <w:rPr>
          <w:rFonts w:hint="default" w:ascii="黑体" w:hAnsi="黑体" w:eastAsia="黑体" w:cs="黑体"/>
          <w:sz w:val="32"/>
          <w:szCs w:val="32"/>
        </w:rPr>
        <w:t xml:space="preserve">    </w:t>
      </w:r>
      <w:r>
        <w:rPr>
          <w:rFonts w:hint="eastAsia" w:ascii="楷体_GB2312" w:hAnsi="楷体_GB2312" w:eastAsia="楷体_GB2312" w:cs="楷体_GB2312"/>
          <w:sz w:val="32"/>
          <w:szCs w:val="32"/>
        </w:rPr>
        <w:t>（三）</w:t>
      </w:r>
      <w:r>
        <w:rPr>
          <w:rFonts w:hint="eastAsia" w:ascii="楷体_GB2312" w:hAnsi="楷体_GB2312" w:eastAsia="楷体_GB2312" w:cs="楷体_GB2312"/>
          <w:sz w:val="32"/>
          <w:szCs w:val="32"/>
        </w:rPr>
        <w:t>关于“</w:t>
      </w:r>
      <w:r>
        <w:rPr>
          <w:rFonts w:hint="eastAsia" w:ascii="楷体_GB2312" w:hAnsi="楷体_GB2312" w:eastAsia="楷体_GB2312" w:cs="楷体_GB2312"/>
          <w:b w:val="0"/>
          <w:sz w:val="32"/>
          <w:szCs w:val="32"/>
          <w:lang w:val="en-US" w:eastAsia="zh-CN"/>
        </w:rPr>
        <w:t>激活水资源潜力，创新发展水库经济</w:t>
      </w:r>
      <w:r>
        <w:rPr>
          <w:rFonts w:hint="eastAsia" w:ascii="楷体_GB2312" w:hAnsi="楷体_GB2312" w:eastAsia="楷体_GB2312" w:cs="楷体_GB2312"/>
          <w:sz w:val="32"/>
          <w:szCs w:val="32"/>
        </w:rPr>
        <w:t>”的建议，答复如下：</w:t>
      </w:r>
    </w:p>
    <w:p w14:paraId="6599AAEF">
      <w:pPr>
        <w:spacing w:line="560" w:lineRule="exact"/>
        <w:ind w:firstLine="645"/>
        <w:outlineLvl w:val="9"/>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我局与龙岗区政府及</w:t>
      </w:r>
      <w:r>
        <w:rPr>
          <w:rFonts w:hint="default" w:ascii="仿宋_GB2312" w:eastAsia="仿宋_GB2312" w:cs="仿宋_GB2312"/>
          <w:sz w:val="32"/>
          <w:szCs w:val="32"/>
        </w:rPr>
        <w:t>市</w:t>
      </w:r>
      <w:r>
        <w:rPr>
          <w:rFonts w:hint="eastAsia" w:ascii="仿宋_GB2312" w:hAnsi="Times New Roman" w:eastAsia="仿宋_GB2312" w:cs="仿宋_GB2312"/>
          <w:sz w:val="32"/>
          <w:szCs w:val="32"/>
        </w:rPr>
        <w:t>内外水务技术领域企业、科研机构积极联系。2025年1月8日，</w:t>
      </w:r>
      <w:r>
        <w:rPr>
          <w:rFonts w:hint="default" w:ascii="仿宋_GB2312" w:eastAsia="仿宋_GB2312" w:cs="仿宋_GB2312"/>
          <w:sz w:val="32"/>
          <w:szCs w:val="32"/>
        </w:rPr>
        <w:t>我</w:t>
      </w:r>
      <w:r>
        <w:rPr>
          <w:rFonts w:hint="eastAsia" w:ascii="仿宋_GB2312" w:hAnsi="Times New Roman" w:eastAsia="仿宋_GB2312" w:cs="仿宋_GB2312"/>
          <w:sz w:val="32"/>
          <w:szCs w:val="32"/>
        </w:rPr>
        <w:t>局</w:t>
      </w:r>
      <w:r>
        <w:rPr>
          <w:rFonts w:hint="default" w:ascii="仿宋_GB2312" w:eastAsia="仿宋_GB2312" w:cs="仿宋_GB2312"/>
          <w:sz w:val="32"/>
          <w:szCs w:val="32"/>
        </w:rPr>
        <w:t>与</w:t>
      </w:r>
      <w:r>
        <w:rPr>
          <w:rFonts w:hint="eastAsia" w:ascii="仿宋_GB2312" w:hAnsi="Times New Roman" w:eastAsia="仿宋_GB2312" w:cs="仿宋_GB2312"/>
          <w:sz w:val="32"/>
          <w:szCs w:val="32"/>
        </w:rPr>
        <w:t>龙岗区</w:t>
      </w:r>
      <w:r>
        <w:rPr>
          <w:rFonts w:hint="default" w:ascii="仿宋_GB2312" w:eastAsia="仿宋_GB2312" w:cs="仿宋_GB2312"/>
          <w:sz w:val="32"/>
          <w:szCs w:val="32"/>
        </w:rPr>
        <w:t>政府</w:t>
      </w:r>
      <w:r>
        <w:rPr>
          <w:rFonts w:hint="eastAsia" w:ascii="仿宋_GB2312" w:hAnsi="Times New Roman" w:eastAsia="仿宋_GB2312" w:cs="仿宋_GB2312"/>
          <w:sz w:val="32"/>
          <w:szCs w:val="32"/>
        </w:rPr>
        <w:t>等单位</w:t>
      </w:r>
      <w:r>
        <w:rPr>
          <w:rFonts w:hint="default" w:ascii="仿宋_GB2312" w:eastAsia="仿宋_GB2312" w:cs="仿宋_GB2312"/>
          <w:sz w:val="32"/>
          <w:szCs w:val="32"/>
        </w:rPr>
        <w:t>组织开展</w:t>
      </w:r>
      <w:r>
        <w:rPr>
          <w:rFonts w:hint="eastAsia" w:ascii="仿宋_GB2312" w:hAnsi="Times New Roman" w:eastAsia="仿宋_GB2312" w:cs="仿宋_GB2312"/>
          <w:sz w:val="32"/>
          <w:szCs w:val="32"/>
        </w:rPr>
        <w:t>“我帮企业搭场景”-走进清林径水库水务专场对接活动，为150家企业搭建智慧水务场景，深入开展资源链接和商务洽谈，现场共推动80多家企业达成场景意向，1家企业注册落地龙岗</w:t>
      </w:r>
      <w:r>
        <w:rPr>
          <w:rFonts w:hint="default" w:ascii="仿宋_GB2312" w:eastAsia="仿宋_GB2312" w:cs="仿宋_GB2312"/>
          <w:sz w:val="32"/>
          <w:szCs w:val="32"/>
        </w:rPr>
        <w:t>区</w:t>
      </w:r>
      <w:r>
        <w:rPr>
          <w:rFonts w:hint="eastAsia" w:ascii="仿宋_GB2312" w:hAnsi="Times New Roman" w:eastAsia="仿宋_GB2312" w:cs="仿宋_GB2312"/>
          <w:sz w:val="32"/>
          <w:szCs w:val="32"/>
        </w:rPr>
        <w:t>，13家市外企业由龙岗区商务局对接招商服务。活动还促成龙岗区于1月23日正式</w:t>
      </w:r>
      <w:r>
        <w:rPr>
          <w:rFonts w:hint="default" w:ascii="仿宋_GB2312" w:eastAsia="仿宋_GB2312" w:cs="仿宋_GB2312"/>
          <w:sz w:val="32"/>
          <w:szCs w:val="32"/>
        </w:rPr>
        <w:t>建</w:t>
      </w:r>
      <w:r>
        <w:rPr>
          <w:rFonts w:hint="eastAsia" w:ascii="仿宋_GB2312" w:hAnsi="Times New Roman" w:eastAsia="仿宋_GB2312" w:cs="仿宋_GB2312"/>
          <w:sz w:val="32"/>
          <w:szCs w:val="32"/>
        </w:rPr>
        <w:t>立深圳市智能水务产业园，形成市</w:t>
      </w:r>
      <w:r>
        <w:rPr>
          <w:rFonts w:hint="default" w:ascii="仿宋_GB2312" w:eastAsia="仿宋_GB2312" w:cs="仿宋_GB2312"/>
          <w:sz w:val="32"/>
          <w:szCs w:val="32"/>
        </w:rPr>
        <w:t>、</w:t>
      </w:r>
      <w:r>
        <w:rPr>
          <w:rFonts w:hint="eastAsia" w:ascii="仿宋_GB2312" w:hAnsi="Times New Roman" w:eastAsia="仿宋_GB2312" w:cs="仿宋_GB2312"/>
          <w:sz w:val="32"/>
          <w:szCs w:val="32"/>
        </w:rPr>
        <w:t>区联动创新的“市场＋资源＋应用场景”招商模式。后续我局将持续激活水资源潜力，发挥好水务场景发布平台作用，</w:t>
      </w:r>
      <w:r>
        <w:rPr>
          <w:rFonts w:hint="default" w:ascii="仿宋_GB2312" w:eastAsia="仿宋_GB2312" w:cs="仿宋_GB2312"/>
          <w:sz w:val="32"/>
          <w:szCs w:val="32"/>
        </w:rPr>
        <w:t>将</w:t>
      </w:r>
      <w:r>
        <w:rPr>
          <w:rFonts w:hint="eastAsia" w:ascii="仿宋_GB2312" w:hAnsi="Times New Roman" w:eastAsia="仿宋_GB2312" w:cs="仿宋_GB2312"/>
          <w:sz w:val="32"/>
          <w:szCs w:val="32"/>
        </w:rPr>
        <w:t>“生态好水”转化为“经济活水”。</w:t>
      </w:r>
    </w:p>
    <w:p w14:paraId="0CA3B814">
      <w:pPr>
        <w:spacing w:line="560" w:lineRule="exact"/>
        <w:ind w:firstLine="645"/>
        <w:outlineLvl w:val="9"/>
        <w:rPr>
          <w:rFonts w:hint="eastAsia" w:ascii="仿宋_GB2312" w:hAnsi="Times New Roman" w:eastAsia="仿宋_GB2312" w:cs="仿宋_GB2312"/>
          <w:sz w:val="32"/>
          <w:szCs w:val="32"/>
        </w:rPr>
      </w:pPr>
      <w:r>
        <w:rPr>
          <w:rFonts w:hint="default" w:ascii="仿宋_GB2312" w:eastAsia="仿宋_GB2312" w:cs="仿宋_GB2312"/>
          <w:sz w:val="32"/>
          <w:szCs w:val="32"/>
        </w:rPr>
        <w:t>下一步，</w:t>
      </w:r>
      <w:r>
        <w:rPr>
          <w:rFonts w:hint="eastAsia" w:ascii="仿宋_GB2312" w:hAnsi="Times New Roman" w:eastAsia="仿宋_GB2312" w:cs="仿宋_GB2312"/>
          <w:sz w:val="32"/>
          <w:szCs w:val="32"/>
        </w:rPr>
        <w:t>我</w:t>
      </w:r>
      <w:r>
        <w:rPr>
          <w:rFonts w:hint="default" w:ascii="仿宋_GB2312" w:eastAsia="仿宋_GB2312" w:cs="仿宋_GB2312"/>
          <w:sz w:val="32"/>
          <w:szCs w:val="32"/>
        </w:rPr>
        <w:t>局</w:t>
      </w:r>
      <w:r>
        <w:rPr>
          <w:rFonts w:hint="eastAsia" w:ascii="仿宋_GB2312" w:hAnsi="Times New Roman" w:eastAsia="仿宋_GB2312" w:cs="仿宋_GB2312"/>
          <w:sz w:val="32"/>
          <w:szCs w:val="32"/>
        </w:rPr>
        <w:t>将</w:t>
      </w:r>
      <w:r>
        <w:rPr>
          <w:rFonts w:hint="default" w:ascii="仿宋_GB2312" w:eastAsia="仿宋_GB2312" w:cs="仿宋_GB2312"/>
          <w:sz w:val="32"/>
          <w:szCs w:val="32"/>
        </w:rPr>
        <w:t>继续</w:t>
      </w:r>
      <w:r>
        <w:rPr>
          <w:rFonts w:hint="eastAsia" w:ascii="仿宋_GB2312" w:hAnsi="Times New Roman" w:eastAsia="仿宋_GB2312" w:cs="仿宋_GB2312"/>
          <w:sz w:val="32"/>
          <w:szCs w:val="32"/>
        </w:rPr>
        <w:t>深入贯彻省委、省政府关于打造绿色水经济新业态的决策部署，结合</w:t>
      </w:r>
      <w:r>
        <w:rPr>
          <w:rFonts w:hint="default" w:ascii="仿宋_GB2312" w:eastAsia="仿宋_GB2312" w:cs="仿宋_GB2312"/>
          <w:sz w:val="32"/>
          <w:szCs w:val="32"/>
        </w:rPr>
        <w:t>我市</w:t>
      </w:r>
      <w:r>
        <w:rPr>
          <w:rFonts w:hint="eastAsia" w:ascii="仿宋_GB2312" w:hAnsi="Times New Roman" w:eastAsia="仿宋_GB2312" w:cs="仿宋_GB2312"/>
          <w:sz w:val="32"/>
          <w:szCs w:val="32"/>
        </w:rPr>
        <w:t>水务发展</w:t>
      </w:r>
      <w:r>
        <w:rPr>
          <w:rFonts w:hint="eastAsia" w:ascii="仿宋_GB2312" w:hAnsi="仿宋_GB2312" w:eastAsia="仿宋_GB2312" w:cs="仿宋_GB2312"/>
          <w:sz w:val="32"/>
          <w:szCs w:val="32"/>
        </w:rPr>
        <w:t>“</w:t>
      </w:r>
      <w:r>
        <w:rPr>
          <w:rFonts w:hint="eastAsia" w:ascii="仿宋_GB2312" w:hAnsi="Times New Roman" w:eastAsia="仿宋_GB2312" w:cs="仿宋_GB2312"/>
          <w:sz w:val="32"/>
          <w:szCs w:val="32"/>
        </w:rPr>
        <w:t>十五五</w:t>
      </w:r>
      <w:r>
        <w:rPr>
          <w:rFonts w:hint="eastAsia" w:ascii="仿宋_GB2312" w:hAnsi="仿宋_GB2312" w:eastAsia="仿宋_GB2312" w:cs="仿宋_GB2312"/>
          <w:sz w:val="32"/>
          <w:szCs w:val="32"/>
        </w:rPr>
        <w:t>”</w:t>
      </w:r>
      <w:r>
        <w:rPr>
          <w:rFonts w:hint="eastAsia" w:ascii="仿宋_GB2312" w:hAnsi="Times New Roman" w:eastAsia="仿宋_GB2312" w:cs="仿宋_GB2312"/>
          <w:sz w:val="32"/>
          <w:szCs w:val="32"/>
        </w:rPr>
        <w:t>规划和经济社会高质量发展要求，完善我市水经济发展顶层设计和规划部署，出台有关政策措施，引导河湖（库）管养模式转型</w:t>
      </w:r>
      <w:r>
        <w:rPr>
          <w:rFonts w:hint="default" w:ascii="仿宋_GB2312" w:eastAsia="仿宋_GB2312" w:cs="仿宋_GB2312"/>
          <w:sz w:val="32"/>
          <w:szCs w:val="32"/>
        </w:rPr>
        <w:t>升级</w:t>
      </w:r>
      <w:r>
        <w:rPr>
          <w:rFonts w:hint="eastAsia" w:ascii="仿宋_GB2312" w:hAnsi="Times New Roman" w:eastAsia="仿宋_GB2312" w:cs="仿宋_GB2312"/>
          <w:sz w:val="32"/>
          <w:szCs w:val="32"/>
        </w:rPr>
        <w:t>，推进水务设施空间稳步有序开放，</w:t>
      </w:r>
      <w:r>
        <w:rPr>
          <w:rFonts w:hint="eastAsia" w:ascii="仿宋_GB2312" w:hAnsi="Times New Roman" w:eastAsia="仿宋_GB2312" w:cs="仿宋_GB2312"/>
          <w:sz w:val="32"/>
          <w:szCs w:val="32"/>
          <w:lang w:eastAsia="zh-CN"/>
        </w:rPr>
        <w:t>努力</w:t>
      </w:r>
      <w:r>
        <w:rPr>
          <w:rFonts w:hint="eastAsia" w:ascii="仿宋_GB2312" w:hAnsi="Times New Roman" w:eastAsia="仿宋_GB2312" w:cs="仿宋_GB2312"/>
          <w:sz w:val="32"/>
          <w:szCs w:val="32"/>
        </w:rPr>
        <w:t>实现政府减</w:t>
      </w:r>
      <w:r>
        <w:rPr>
          <w:rFonts w:hint="default" w:ascii="仿宋_GB2312" w:eastAsia="仿宋_GB2312" w:cs="仿宋_GB2312"/>
          <w:sz w:val="32"/>
          <w:szCs w:val="32"/>
        </w:rPr>
        <w:t>轻</w:t>
      </w:r>
      <w:r>
        <w:rPr>
          <w:rFonts w:hint="eastAsia" w:ascii="仿宋_GB2312" w:hAnsi="Times New Roman" w:eastAsia="仿宋_GB2312" w:cs="仿宋_GB2312"/>
          <w:sz w:val="32"/>
          <w:szCs w:val="32"/>
          <w:lang w:eastAsia="zh-CN"/>
        </w:rPr>
        <w:t>财政</w:t>
      </w:r>
      <w:r>
        <w:rPr>
          <w:rFonts w:hint="eastAsia" w:ascii="仿宋_GB2312" w:hAnsi="Times New Roman" w:eastAsia="仿宋_GB2312" w:cs="仿宋_GB2312"/>
          <w:sz w:val="32"/>
          <w:szCs w:val="32"/>
        </w:rPr>
        <w:t>负担、企业经营</w:t>
      </w:r>
      <w:r>
        <w:rPr>
          <w:rFonts w:hint="eastAsia" w:ascii="仿宋_GB2312" w:hAnsi="Times New Roman" w:eastAsia="仿宋_GB2312" w:cs="仿宋_GB2312"/>
          <w:sz w:val="32"/>
          <w:szCs w:val="32"/>
          <w:lang w:eastAsia="zh-CN"/>
        </w:rPr>
        <w:t>合理盈利</w:t>
      </w:r>
      <w:r>
        <w:rPr>
          <w:rFonts w:hint="eastAsia" w:ascii="仿宋_GB2312" w:hAnsi="Times New Roman" w:eastAsia="仿宋_GB2312" w:cs="仿宋_GB2312"/>
          <w:sz w:val="32"/>
          <w:szCs w:val="32"/>
        </w:rPr>
        <w:t>、生态环境持续向好、市民群众获得实惠的多赢局面。</w:t>
      </w:r>
    </w:p>
    <w:p w14:paraId="6F19EF1A">
      <w:pPr>
        <w:spacing w:line="560" w:lineRule="exact"/>
        <w:ind w:firstLine="645"/>
        <w:outlineLvl w:val="9"/>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再次感谢</w:t>
      </w:r>
      <w:r>
        <w:rPr>
          <w:rFonts w:hint="default" w:ascii="仿宋_GB2312" w:eastAsia="仿宋_GB2312" w:cs="仿宋_GB2312"/>
          <w:sz w:val="32"/>
          <w:szCs w:val="32"/>
        </w:rPr>
        <w:t>你</w:t>
      </w:r>
      <w:r>
        <w:rPr>
          <w:rFonts w:hint="eastAsia" w:ascii="仿宋_GB2312" w:hAnsi="Times New Roman" w:eastAsia="仿宋_GB2312" w:cs="仿宋_GB2312"/>
          <w:sz w:val="32"/>
          <w:szCs w:val="32"/>
        </w:rPr>
        <w:t>们对清林径水库水利风景区建设及龙岗区经济社会发展的关心指导，欢迎继续提出宝贵意见和建议。</w:t>
      </w:r>
    </w:p>
    <w:p w14:paraId="7D085C4D">
      <w:pPr>
        <w:spacing w:line="560" w:lineRule="exact"/>
        <w:ind w:firstLine="645"/>
        <w:rPr>
          <w:rFonts w:hint="eastAsia" w:ascii="仿宋_GB2312" w:eastAsia="仿宋_GB2312" w:cs="仿宋_GB2312"/>
          <w:sz w:val="32"/>
          <w:szCs w:val="32"/>
        </w:rPr>
      </w:pPr>
      <w:r>
        <w:rPr>
          <w:rFonts w:hint="eastAsia" w:ascii="仿宋_GB2312" w:eastAsia="仿宋_GB2312" w:cs="仿宋_GB2312"/>
          <w:sz w:val="32"/>
          <w:szCs w:val="32"/>
          <w:lang w:val="en-US" w:eastAsia="zh-CN"/>
        </w:rPr>
        <w:t>此函</w:t>
      </w:r>
      <w:r>
        <w:rPr>
          <w:rFonts w:hint="eastAsia" w:ascii="仿宋_GB2312" w:eastAsia="仿宋_GB2312" w:cs="仿宋_GB2312"/>
          <w:sz w:val="32"/>
          <w:szCs w:val="32"/>
        </w:rPr>
        <w:t>。</w:t>
      </w:r>
    </w:p>
    <w:p w14:paraId="4A33F842">
      <w:pPr>
        <w:spacing w:line="560" w:lineRule="exact"/>
        <w:ind w:firstLine="645"/>
        <w:rPr>
          <w:rFonts w:hint="eastAsia" w:ascii="仿宋_GB2312" w:eastAsia="仿宋_GB2312" w:cs="仿宋_GB2312"/>
          <w:sz w:val="32"/>
          <w:szCs w:val="32"/>
        </w:rPr>
      </w:pPr>
    </w:p>
    <w:p w14:paraId="1594D356">
      <w:pPr>
        <w:keepNext w:val="0"/>
        <w:keepLines w:val="0"/>
        <w:pageBreakBefore w:val="0"/>
        <w:widowControl w:val="0"/>
        <w:pBdr>
          <w:top w:val="none" w:color="auto" w:sz="0" w:space="0"/>
        </w:pBdr>
        <w:tabs>
          <w:tab w:val="left" w:pos="320"/>
        </w:tabs>
        <w:kinsoku/>
        <w:wordWrap/>
        <w:overflowPunct/>
        <w:topLinePunct w:val="0"/>
        <w:autoSpaceDE/>
        <w:autoSpaceDN/>
        <w:bidi w:val="0"/>
        <w:adjustRightInd/>
        <w:snapToGrid/>
        <w:spacing w:line="560" w:lineRule="exact"/>
        <w:ind w:firstLine="3840" w:firstLineChars="1200"/>
        <w:jc w:val="center"/>
        <w:textAlignment w:val="auto"/>
        <w:rPr>
          <w:rFonts w:hint="eastAsia" w:ascii="仿宋_GB2312" w:hAnsi="仿宋_GB2312" w:eastAsia="仿宋_GB2312" w:cs="仿宋_GB2312"/>
          <w:sz w:val="32"/>
          <w:szCs w:val="32"/>
        </w:rPr>
      </w:pPr>
    </w:p>
    <w:p w14:paraId="51226173">
      <w:pPr>
        <w:keepNext w:val="0"/>
        <w:keepLines w:val="0"/>
        <w:pageBreakBefore w:val="0"/>
        <w:widowControl w:val="0"/>
        <w:pBdr>
          <w:top w:val="none" w:color="auto" w:sz="0" w:space="0"/>
        </w:pBdr>
        <w:tabs>
          <w:tab w:val="left" w:pos="320"/>
        </w:tabs>
        <w:kinsoku/>
        <w:wordWrap/>
        <w:overflowPunct/>
        <w:topLinePunct w:val="0"/>
        <w:autoSpaceDE/>
        <w:autoSpaceDN/>
        <w:bidi w:val="0"/>
        <w:adjustRightInd/>
        <w:snapToGrid/>
        <w:spacing w:line="560" w:lineRule="exact"/>
        <w:ind w:firstLine="3840" w:firstLineChars="1200"/>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深圳市水务局</w:t>
      </w:r>
    </w:p>
    <w:p w14:paraId="7D93A777">
      <w:pPr>
        <w:keepNext w:val="0"/>
        <w:keepLines w:val="0"/>
        <w:pageBreakBefore w:val="0"/>
        <w:widowControl w:val="0"/>
        <w:pBdr>
          <w:top w:val="none" w:color="auto" w:sz="0" w:space="0"/>
        </w:pBdr>
        <w:tabs>
          <w:tab w:val="left" w:pos="320"/>
        </w:tabs>
        <w:kinsoku/>
        <w:wordWrap/>
        <w:overflowPunct/>
        <w:topLinePunct w:val="0"/>
        <w:autoSpaceDE/>
        <w:autoSpaceDN/>
        <w:bidi w:val="0"/>
        <w:adjustRightInd/>
        <w:snapToGrid/>
        <w:spacing w:line="560" w:lineRule="exact"/>
        <w:ind w:firstLine="3840" w:firstLineChars="1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年</w:t>
      </w:r>
      <w:r>
        <w:rPr>
          <w:rFonts w:hint="default" w:ascii="仿宋_GB2312" w:hAnsi="仿宋_GB2312" w:cs="仿宋_GB2312"/>
          <w:sz w:val="32"/>
          <w:szCs w:val="32"/>
          <w:lang w:val="en-US"/>
        </w:rPr>
        <w:t>5</w:t>
      </w:r>
      <w:r>
        <w:rPr>
          <w:rFonts w:hint="eastAsia" w:ascii="仿宋_GB2312" w:hAnsi="仿宋_GB2312" w:eastAsia="仿宋_GB2312" w:cs="仿宋_GB2312"/>
          <w:sz w:val="32"/>
          <w:szCs w:val="32"/>
        </w:rPr>
        <w:t>月</w:t>
      </w:r>
      <w:r>
        <w:rPr>
          <w:rFonts w:hint="default" w:ascii="仿宋_GB2312" w:hAnsi="仿宋_GB2312" w:cs="仿宋_GB2312"/>
          <w:sz w:val="32"/>
          <w:szCs w:val="32"/>
          <w:lang w:val="en-US"/>
        </w:rPr>
        <w:t>2</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rPr>
        <w:t>日</w:t>
      </w:r>
    </w:p>
    <w:p w14:paraId="03AAA6F0">
      <w:pPr>
        <w:spacing w:line="560" w:lineRule="exact"/>
        <w:ind w:firstLine="640" w:firstLineChars="200"/>
        <w:rPr>
          <w:rFonts w:hint="eastAsia" w:ascii="仿宋_GB2312" w:eastAsia="仿宋_GB2312" w:cs="仿宋_GB2312"/>
          <w:sz w:val="32"/>
          <w:szCs w:val="32"/>
        </w:rPr>
      </w:pPr>
    </w:p>
    <mc:AlternateContent>
      <mc:Choice Requires="wpsCustomData">
        <wpsCustomData:docfieldEnd id="0"/>
      </mc:Choice>
    </mc:AlternateContent>
    <w:p w14:paraId="6738F720"/>
    <w:sectPr>
      <w:footerReference r:id="rId3" w:type="default"/>
      <w:pgSz w:w="11906" w:h="16838"/>
      <w:pgMar w:top="2098" w:right="1474" w:bottom="1984" w:left="1587" w:header="0" w:footer="1474" w:gutter="0"/>
      <w:cols w:space="720" w:num="1"/>
      <w:titlePg/>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WPSEMBED2">
    <w:panose1 w:val="02000000000000000000"/>
    <w:charset w:val="86"/>
    <w:family w:val="auto"/>
    <w:pitch w:val="default"/>
    <w:sig w:usb0="A00002BF" w:usb1="38CF7CFA" w:usb2="00082016" w:usb3="00000000" w:csb0="00040001" w:csb1="00000000"/>
  </w:font>
  <w:font w:name="WPSEMBED1">
    <w:panose1 w:val="02010609030101010101"/>
    <w:charset w:val="86"/>
    <w:family w:val="auto"/>
    <w:pitch w:val="default"/>
    <w:sig w:usb0="00000001" w:usb1="080E0000" w:usb2="00000000" w:usb3="00000000" w:csb0="00040000" w:csb1="00000000"/>
  </w:font>
  <w:font w:name="WPSEMBED3">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F6E10">
    <w:pPr>
      <w:pStyle w:val="2"/>
      <w:framePr w:wrap="around" w:vAnchor="text" w:hAnchor="margin" w:xAlign="outside" w:y="1"/>
      <w:rPr>
        <w:rStyle w:val="6"/>
        <w:rFonts w:ascii="宋体" w:hAnsi="宋体"/>
        <w:color w:val="FFFFFF"/>
        <w:sz w:val="28"/>
        <w:szCs w:val="28"/>
      </w:rPr>
    </w:pPr>
    <w:bookmarkStart w:id="0" w:name="OLE_LINK5"/>
    <w:bookmarkStart w:id="1" w:name="OLE_LINK6"/>
    <w:bookmarkStart w:id="2" w:name="OLE_LINK1"/>
    <w:bookmarkStart w:id="3" w:name="OLE_LINK20"/>
    <w:bookmarkStart w:id="4" w:name="_Hlk82966"/>
    <w:r>
      <w:rPr>
        <w:rStyle w:val="6"/>
        <w:rFonts w:hint="eastAsia" w:ascii="宋体" w:hAnsi="宋体"/>
        <w:color w:val="FFFFFF"/>
        <w:sz w:val="28"/>
        <w:szCs w:val="28"/>
      </w:rPr>
      <w:t>—</w:t>
    </w:r>
    <w:r>
      <w:rPr>
        <w:rStyle w:val="6"/>
        <w:rFonts w:hint="eastAsia" w:ascii="宋体" w:hAnsi="宋体"/>
        <w:sz w:val="28"/>
        <w:szCs w:val="28"/>
      </w:rPr>
      <w:t xml:space="preserve">— </w:t>
    </w: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1</w:t>
    </w:r>
    <w:r>
      <w:rPr>
        <w:rFonts w:ascii="宋体" w:hAnsi="宋体"/>
        <w:sz w:val="28"/>
        <w:szCs w:val="28"/>
      </w:rPr>
      <w:fldChar w:fldCharType="end"/>
    </w:r>
    <w:r>
      <w:rPr>
        <w:rStyle w:val="6"/>
        <w:rFonts w:hint="eastAsia" w:ascii="宋体" w:hAnsi="宋体"/>
        <w:sz w:val="28"/>
        <w:szCs w:val="28"/>
      </w:rPr>
      <w:t xml:space="preserve"> —</w:t>
    </w:r>
    <w:r>
      <w:rPr>
        <w:rStyle w:val="6"/>
        <w:rFonts w:hint="eastAsia" w:ascii="宋体" w:hAnsi="宋体"/>
        <w:color w:val="FFFFFF"/>
        <w:sz w:val="28"/>
        <w:szCs w:val="28"/>
      </w:rPr>
      <w:t>—</w:t>
    </w:r>
  </w:p>
  <w:bookmarkEnd w:id="0"/>
  <w:bookmarkEnd w:id="1"/>
  <w:bookmarkEnd w:id="2"/>
  <w:bookmarkEnd w:id="3"/>
  <w:bookmarkEnd w:id="4"/>
  <w:p w14:paraId="5D59DFB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C3E03A4"/>
    <w:rsid w:val="12E648DC"/>
    <w:rsid w:val="27ED96C5"/>
    <w:rsid w:val="37FFC241"/>
    <w:rsid w:val="3BFFE2BC"/>
    <w:rsid w:val="3EAB0813"/>
    <w:rsid w:val="3FFE56A8"/>
    <w:rsid w:val="7B35D534"/>
    <w:rsid w:val="DB3323CE"/>
    <w:rsid w:val="FFBB43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szCs w:val="21"/>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1350</Words>
  <Characters>1388</Characters>
  <Lines>1</Lines>
  <Paragraphs>1</Paragraphs>
  <TotalTime>3</TotalTime>
  <ScaleCrop>false</ScaleCrop>
  <LinksUpToDate>false</LinksUpToDate>
  <CharactersWithSpaces>1401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2024-04-08T07:02:00Z</dcterms:created>
  <dc:creator>小金</dc:creator>
  <cp:lastModifiedBy>か葉葉&amp; </cp:lastModifiedBy>
  <dcterms:modified xsi:type="dcterms:W3CDTF">2026-01-04T02:23:17Z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AA514662DA74C9FF0EBC3668025D94E0</vt:lpwstr>
  </property>
  <property fmtid="{D5CDD505-2E9C-101B-9397-08002B2CF9AE}" pid="4" name="KSOTemplateDocerSaveRecord">
    <vt:lpwstr>eyJoZGlkIjoiZDRlMjcxYzhhZjkyY2RhODhmMTk2NGI1NzdmYWFhYTkiLCJ1c2VySWQiOiI4OTE0MDE2NDYifQ==</vt:lpwstr>
  </property>
  <property fmtid="{D5CDD505-2E9C-101B-9397-08002B2CF9AE}" pid="5" name="Content">
    <vt:lpwstr>B类 公开方式：公开深圳市水务局关于市人大七届六次会议第20250423号建议答复的函张天峰等代表：你们提出的《关于进一步推动清林径省级水利风景区建设的建议》（第20250423号）收悉。经研究，答复如下：一、办理过程诚如代表所言，清林径水库水利风景区建设存在周边资源分布零散、缺乏整体规划与开发、景区效应未能充分发挥等问题。对此，我局与龙岗区政府开展了多轮现场调研和座谈，共同研究制定清林径水库水利风景区整体规划以及生态惠民利用、发展水库经济等措施。    二、具体建议办理情况（一）关于“上下一体联动，推进景区规划建设”的建议，答复如下：我局积极联系龙岗区政府，参考借鉴深圳水库、光明湖水利风景区的建设经验，建议加快完善景区周边配套设施建设，提升周边城市环境景观。下一步，我局将按照水利风景区建设规划抓好组织实施，积极联系市发展改革委、市财政局、市城管和综合执法局等部门，争取相关部门对清林径水库水利风景区建设的支持，加快景区后续建设工作。    （二）关于“推进轻量开发，实现生态惠民利用”的建议，答复如下：在市、区领导和各职能部门的大力支持下，清林径水库已于2025年3月经广东省水利厅认定为省级水利风景区，后续将按照水利风景区建设规划，统筹保护和发展的关系，强化水利风景区管理和安全生产，加强水利工程保护和水文化建设，在确保水利工程安全平稳运行的前提下，按照“封闭管理、分区管理、团队预约、集中参观”的模式有组织地逐步开放。充分发挥水利风景区的生态效益、社会效益和经济效益。目前清林径水库已结合实际情况开放部分区域，已接待约800人次的学习调研活动。同时我局正在组织开发预约小程序，后续将积极推动风景区有序开放。    （三）关于“激活水资源潜力，创新发展水库经济”的建议，答复如下：我局与龙岗区政府及市内外水务技术领域企业、科研机构积极联系。2025年1月8日，我局与龙岗区政府等单位组织开展“我帮企业搭场景”-走进清林径水库水务专场对接活动，为150家企业搭建智慧水务场景，深入开展资源链接和商务洽谈，现场共推动80多家企业达成场景意向，1家企业注册落地龙岗区，13家市外企业由龙岗区商务局对接招商服务。活动还促成龙岗区于1月23日正式建立深圳市智能水务产业园，形成市、区联动创新的“市场＋资源＋应用场景”招商模式。后续我局将持续激活水资源潜力，发挥好水务场景发布平台作用，将“生态好水”转化为“经济活水”。下一步，我局将继续深入贯彻省委、省政府关于打造绿色水经济新业态的决策部署，结合我市水务发展“十五五”规划和经济社会高质量发展要求，完善我市水经济发展顶层设计和规划部署，出台有关政策措施，引导河湖（库）管养模式转型升级，推进水务设施空间稳步有序开放，努力实现政府减轻财政负担、企业经营合理盈利、生态环境持续向好、市民群众获得实惠的多赢局面。再次感谢你们对清林径水库水利风景区建设及龙岗区经济社会发展的关心指导，欢迎继续提出宝贵意见和建议。此函。深圳市水务局2025年5月28日    （联系人：王佳，联系电话：15813864881）</vt:lpwstr>
  </property>
</Properties>
</file>