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3297">
      <w:pPr>
        <w:spacing w:line="540" w:lineRule="exact"/>
        <w:jc w:val="both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0322370"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 w14:paraId="1C395634">
      <w:pPr>
        <w:pStyle w:val="185"/>
        <w:keepNext w:val="0"/>
        <w:keepLines w:val="0"/>
        <w:pageBreakBefore w:val="0"/>
        <w:widowControl w:val="0"/>
        <w:spacing w:before="0" w:beforeAutospacing="0" w:after="0" w:afterAutospacing="0" w:line="540" w:lineRule="exact"/>
        <w:ind w:left="0" w:right="0" w:firstLine="0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bookmarkStart w:id="5" w:name="_GoBack"/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14项废止政策制度清单</w:t>
      </w:r>
    </w:p>
    <w:bookmarkEnd w:id="5"/>
    <w:p w14:paraId="77FD865A">
      <w:pPr>
        <w:pStyle w:val="185"/>
        <w:keepNext w:val="0"/>
        <w:keepLines w:val="0"/>
        <w:pageBreakBefore w:val="0"/>
        <w:widowControl w:val="0"/>
        <w:spacing w:before="0" w:beforeAutospacing="0" w:after="0" w:afterAutospacing="0" w:line="540" w:lineRule="exact"/>
        <w:ind w:left="0" w:right="0" w:firstLine="0"/>
        <w:jc w:val="both"/>
        <w:rPr>
          <w:rFonts w:hint="eastAsia" w:ascii="方正小标宋_GBK" w:hAnsi="方正小标宋_GBK" w:eastAsia="方正小标宋_GBK"/>
          <w:sz w:val="44"/>
          <w:szCs w:val="44"/>
        </w:rPr>
      </w:pPr>
    </w:p>
    <w:p w14:paraId="0788249B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《深圳市水务局关于印发〈深圳市水务局政府投资项目前期工作管理办法（试行）〉的通知》（深水计〔2016〕343号）</w:t>
      </w:r>
    </w:p>
    <w:p w14:paraId="213B257C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《深圳市水务局关于印发〈深圳市水务局政府投资项目概算调整管理办法（试行）〉的通知》（深水计〔2016〕365号）</w:t>
      </w:r>
    </w:p>
    <w:p w14:paraId="1B83997E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深圳市水务发展专项资金绩效管理工作指引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的通知》（深水计〔2021〕105号）</w:t>
      </w:r>
    </w:p>
    <w:p w14:paraId="66654B03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《关于印发深圳市水务局部门预算绩效管理办法（试行）的通知》（深水财〔2020〕156号）</w:t>
      </w:r>
    </w:p>
    <w:p w14:paraId="38910256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深圳市水务局重大水务前期工作咨询论证及社会公示办法（试行）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的通知》（深水计〔2016〕287号）</w:t>
      </w:r>
    </w:p>
    <w:p w14:paraId="2935DD08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深圳市水务局水务规划管理办法（试行）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的通知》（深水计〔2018〕565号）</w:t>
      </w:r>
    </w:p>
    <w:p w14:paraId="07E046EB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《深圳市水务局适用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中华人民共和国安全生产法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罚款处罚实施标准》（深水监〔2022〕159号）</w:t>
      </w:r>
    </w:p>
    <w:p w14:paraId="2BD27676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深圳市水务局水务技术资料库建设和使用规则（试行）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的通知》（深水保障〔2023〕14号）</w:t>
      </w:r>
    </w:p>
    <w:p w14:paraId="6DC0D9D9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深圳市水务局水务工程质量安全第三方评估管理办法（暂行）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的通知》（深水质监〔2019〕690号）</w:t>
      </w:r>
    </w:p>
    <w:p w14:paraId="274BB320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《关于印发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〈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深圳市水务局政府信息公开保密审查办法（试行）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〉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的通知》</w:t>
      </w:r>
    </w:p>
    <w:p w14:paraId="1CAAB35C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《深圳市水务局极端天气灾害防御应急预案（试行）》（深水防〔2020〕121号）</w:t>
      </w:r>
    </w:p>
    <w:p w14:paraId="1F998A2A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《深圳市水务局关于印发构建深圳市水务安全生产风险管控“六项机制”实施方案的通知》（深水监〔2023〕168号）</w:t>
      </w:r>
    </w:p>
    <w:p w14:paraId="52A12624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《深圳市水务局关于印发水务安全风险管控“六项机制”建设工作方案的通知》（深水监〔2024〕21号）</w:t>
      </w:r>
    </w:p>
    <w:p w14:paraId="5B4DCED9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《深圳市水务局关于进一步规范排水管网数据汇交入库流程的通知》</w:t>
      </w:r>
    </w:p>
    <w:sectPr>
      <w:headerReference r:id="rId5" w:type="default"/>
      <w:footerReference r:id="rId7" w:type="default"/>
      <w:headerReference r:id="rId6" w:type="even"/>
      <w:pgSz w:w="11906" w:h="16838"/>
      <w:pgMar w:top="2098" w:right="1474" w:bottom="1984" w:left="1587" w:header="0" w:footer="1474" w:gutter="0"/>
      <w:pgNumType w:fmt="decimal"/>
      <w:cols w:space="1701" w:num="1"/>
      <w:titlePg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9905">
    <w:pPr>
      <w:pStyle w:val="16"/>
      <w:framePr w:wrap="around" w:vAnchor="text" w:hAnchor="margin" w:xAlign="outside" w:y="1"/>
      <w:tabs>
        <w:tab w:val="center" w:pos="4153"/>
        <w:tab w:val="right" w:pos="8306"/>
        <w:tab w:val="clear" w:pos="7143"/>
        <w:tab w:val="clear" w:pos="14287"/>
      </w:tabs>
      <w:rPr>
        <w:rStyle w:val="29"/>
        <w:rFonts w:ascii="宋体" w:hAnsi="宋体"/>
        <w:color w:val="FFFFFF"/>
        <w:sz w:val="28"/>
        <w:szCs w:val="28"/>
      </w:rPr>
    </w:pPr>
    <w:bookmarkStart w:id="0" w:name="OLE_LINK20"/>
    <w:bookmarkStart w:id="1" w:name="_Hlk82966"/>
    <w:bookmarkStart w:id="2" w:name="OLE_LINK6"/>
    <w:bookmarkStart w:id="3" w:name="OLE_LINK1"/>
    <w:bookmarkStart w:id="4" w:name="OLE_LINK5"/>
    <w:r>
      <w:rPr>
        <w:rStyle w:val="29"/>
        <w:rFonts w:hint="eastAsia" w:ascii="宋体" w:hAnsi="宋体"/>
        <w:color w:val="FFFFFF"/>
        <w:sz w:val="28"/>
        <w:szCs w:val="28"/>
      </w:rPr>
      <w:t>—</w:t>
    </w:r>
    <w:r>
      <w:rPr>
        <w:rStyle w:val="2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2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9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29"/>
        <w:rFonts w:hint="eastAsia" w:ascii="宋体" w:hAnsi="宋体"/>
        <w:sz w:val="28"/>
        <w:szCs w:val="28"/>
      </w:rPr>
      <w:t xml:space="preserve"> —</w:t>
    </w:r>
    <w:r>
      <w:rPr>
        <w:rStyle w:val="29"/>
        <w:rFonts w:hint="eastAsia" w:ascii="宋体" w:hAnsi="宋体"/>
        <w:color w:val="FFFFFF"/>
        <w:sz w:val="28"/>
        <w:szCs w:val="28"/>
      </w:rPr>
      <w:t>—</w:t>
    </w:r>
    <w:bookmarkEnd w:id="0"/>
    <w:bookmarkEnd w:id="1"/>
    <w:bookmarkEnd w:id="2"/>
    <w:bookmarkEnd w:id="3"/>
    <w:bookmarkEnd w:id="4"/>
  </w:p>
  <w:p w14:paraId="44D57D0A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1C5D0">
    <w:pPr>
      <w:pStyle w:val="183"/>
      <w:pBdr>
        <w:bottom w:val="none" w:color="000000" w:sz="0" w:space="0"/>
      </w:pBdr>
    </w:pPr>
  </w:p>
  <w:p w14:paraId="175E1E4E">
    <w:pPr>
      <w:pStyle w:val="183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55F86">
    <w:pPr>
      <w:pStyle w:val="183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2CF46"/>
    <w:multiLevelType w:val="multilevel"/>
    <w:tmpl w:val="EEF2CF46"/>
    <w:lvl w:ilvl="0" w:tentative="0">
      <w:start w:val="1"/>
      <w:numFmt w:val="chineseCountingThousand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B5B2B"/>
    <w:rsid w:val="73BF4D1D"/>
    <w:rsid w:val="7B7B6799"/>
    <w:rsid w:val="E2DB8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仿宋_GB2312" w:cs="Times New Roman"/>
      <w:color w:val="auto"/>
      <w:spacing w:val="0"/>
      <w:kern w:val="2"/>
      <w:position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overflowPunct w:val="0"/>
      <w:autoSpaceDE w:val="0"/>
      <w:autoSpaceDN w:val="0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overflowPunct w:val="0"/>
      <w:autoSpaceDE w:val="0"/>
      <w:autoSpaceDN w:val="0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6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7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overflowPunct w:val="0"/>
      <w:autoSpaceDE w:val="0"/>
      <w:autoSpaceDN w:val="0"/>
      <w:spacing w:after="0" w:line="240" w:lineRule="auto"/>
    </w:pPr>
  </w:style>
  <w:style w:type="paragraph" w:styleId="18">
    <w:name w:val="toc 1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19">
    <w:name w:val="toc 4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0">
    <w:name w:val="Subtitle"/>
    <w:basedOn w:val="1"/>
    <w:next w:val="1"/>
    <w:link w:val="44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1">
    <w:name w:val="footnote text"/>
    <w:basedOn w:val="1"/>
    <w:link w:val="177"/>
    <w:semiHidden/>
    <w:unhideWhenUsed/>
    <w:qFormat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2">
    <w:name w:val="toc 6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3">
    <w:name w:val="toc 2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83" w:right="0" w:firstLine="0"/>
    </w:pPr>
  </w:style>
  <w:style w:type="paragraph" w:styleId="24">
    <w:name w:val="toc 9"/>
    <w:basedOn w:val="1"/>
    <w:next w:val="1"/>
    <w:unhideWhenUsed/>
    <w:qFormat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5">
    <w:name w:val="Title"/>
    <w:basedOn w:val="1"/>
    <w:next w:val="1"/>
    <w:link w:val="43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table" w:styleId="27">
    <w:name w:val="Table Grid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page number"/>
    <w:basedOn w:val="28"/>
    <w:qFormat/>
    <w:uiPriority w:val="0"/>
  </w:style>
  <w:style w:type="character" w:styleId="30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8"/>
    <w:unhideWhenUsed/>
    <w:qFormat/>
    <w:uiPriority w:val="99"/>
    <w:rPr>
      <w:vertAlign w:val="superscript"/>
    </w:rPr>
  </w:style>
  <w:style w:type="character" w:customStyle="1" w:styleId="32">
    <w:name w:val="Heading 1 Char"/>
    <w:basedOn w:val="28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3">
    <w:name w:val="Heading 2 Char"/>
    <w:basedOn w:val="28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4">
    <w:name w:val="Heading 3 Char"/>
    <w:basedOn w:val="28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5">
    <w:name w:val="Heading 4 Char"/>
    <w:basedOn w:val="28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6">
    <w:name w:val="Heading 5 Char"/>
    <w:basedOn w:val="28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7">
    <w:name w:val="Heading 6 Char"/>
    <w:basedOn w:val="28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7 Char"/>
    <w:basedOn w:val="28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9">
    <w:name w:val="Heading 8 Char"/>
    <w:basedOn w:val="28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9 Char"/>
    <w:basedOn w:val="28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1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42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宋体" w:cs="Times New Roman"/>
      <w:color w:val="auto"/>
      <w:spacing w:val="0"/>
      <w:position w:val="0"/>
      <w:sz w:val="32"/>
      <w:szCs w:val="22"/>
      <w:lang w:val="en-US" w:eastAsia="en-US" w:bidi="en-US"/>
    </w:rPr>
  </w:style>
  <w:style w:type="character" w:customStyle="1" w:styleId="43">
    <w:name w:val="Title Char"/>
    <w:basedOn w:val="28"/>
    <w:link w:val="25"/>
    <w:qFormat/>
    <w:uiPriority w:val="10"/>
    <w:rPr>
      <w:sz w:val="48"/>
      <w:szCs w:val="48"/>
    </w:rPr>
  </w:style>
  <w:style w:type="character" w:customStyle="1" w:styleId="44">
    <w:name w:val="Subtitle Char"/>
    <w:basedOn w:val="28"/>
    <w:link w:val="20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basedOn w:val="28"/>
    <w:link w:val="17"/>
    <w:qFormat/>
    <w:uiPriority w:val="99"/>
  </w:style>
  <w:style w:type="character" w:customStyle="1" w:styleId="50">
    <w:name w:val="Footer Char"/>
    <w:basedOn w:val="28"/>
    <w:link w:val="16"/>
    <w:qFormat/>
    <w:uiPriority w:val="99"/>
  </w:style>
  <w:style w:type="character" w:customStyle="1" w:styleId="51">
    <w:name w:val="Caption Char"/>
    <w:link w:val="16"/>
    <w:qFormat/>
    <w:uiPriority w:val="99"/>
  </w:style>
  <w:style w:type="table" w:customStyle="1" w:styleId="52">
    <w:name w:val="Table Grid Light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3">
    <w:name w:val="Plain Table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4">
    <w:name w:val="Plain Table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6">
    <w:name w:val="Plain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7">
    <w:name w:val="Plain Table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58">
    <w:name w:val="Grid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68">
    <w:name w:val="Grid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69">
    <w:name w:val="Grid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0">
    <w:name w:val="Grid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1">
    <w:name w:val="Grid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2">
    <w:name w:val="Grid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3">
    <w:name w:val="Grid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4 - Accent 1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4 - Accent 2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4 - Accent 3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4 - Accent 4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4 - Accent 5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4 - Accent 6"/>
    <w:basedOn w:val="26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5 Dark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5 Dark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List Table 1 Light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08">
    <w:name w:val="List Table 1 Light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09">
    <w:name w:val="List Table 1 Light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0">
    <w:name w:val="List Table 1 Light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1">
    <w:name w:val="List Table 1 Light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2">
    <w:name w:val="List Table 1 Light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13">
    <w:name w:val="List Table 1 Light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14">
    <w:name w:val="List Table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5">
    <w:name w:val="List Table 2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2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2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2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2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2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4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4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4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4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4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7">
    <w:name w:val="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8">
    <w:name w:val="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9">
    <w:name w:val="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0">
    <w:name w:val="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1">
    <w:name w:val="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Bordered &amp; Lined - Accent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4">
    <w:name w:val="Bordered &amp; Lin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5">
    <w:name w:val="Bordered &amp; Lin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6">
    <w:name w:val="Bordered &amp; Lin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7">
    <w:name w:val="Bordered &amp; Lin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8">
    <w:name w:val="Bordered &amp; Lin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1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2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3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4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5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6"/>
    <w:basedOn w:val="26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7">
    <w:name w:val="Footnote Text Char"/>
    <w:link w:val="21"/>
    <w:qFormat/>
    <w:uiPriority w:val="99"/>
    <w:rPr>
      <w:sz w:val="18"/>
    </w:rPr>
  </w:style>
  <w:style w:type="paragraph" w:customStyle="1" w:styleId="178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宋体" w:cs="Times New Roman"/>
      <w:color w:val="auto"/>
      <w:spacing w:val="0"/>
      <w:position w:val="0"/>
      <w:sz w:val="32"/>
      <w:szCs w:val="22"/>
      <w:lang w:val="en-US" w:eastAsia="en-US" w:bidi="en-US"/>
    </w:rPr>
  </w:style>
  <w:style w:type="character" w:customStyle="1" w:styleId="179">
    <w:name w:val="默认段落字体1"/>
    <w:link w:val="1"/>
    <w:semiHidden/>
    <w:qFormat/>
    <w:uiPriority w:val="0"/>
  </w:style>
  <w:style w:type="table" w:customStyle="1" w:styleId="180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1">
    <w:name w:val="页脚1"/>
    <w:basedOn w:val="1"/>
    <w:link w:val="18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character" w:customStyle="1" w:styleId="182">
    <w:name w:val="页脚 Char"/>
    <w:link w:val="181"/>
    <w:semiHidden/>
    <w:qFormat/>
    <w:uiPriority w:val="0"/>
    <w:rPr>
      <w:rFonts w:ascii="Times New Roman" w:hAnsi="Times New Roman" w:eastAsia="宋体"/>
      <w:kern w:val="0"/>
      <w:sz w:val="18"/>
      <w:szCs w:val="18"/>
      <w:lang w:val="zh-CN" w:eastAsia="zh-CN"/>
    </w:rPr>
  </w:style>
  <w:style w:type="paragraph" w:customStyle="1" w:styleId="183">
    <w:name w:val="页眉1"/>
    <w:basedOn w:val="1"/>
    <w:link w:val="18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customStyle="1" w:styleId="184">
    <w:name w:val="页眉 Char"/>
    <w:link w:val="183"/>
    <w:qFormat/>
    <w:uiPriority w:val="0"/>
    <w:rPr>
      <w:rFonts w:ascii="Times New Roman" w:hAnsi="Times New Roman" w:eastAsia="宋体"/>
      <w:kern w:val="0"/>
      <w:sz w:val="18"/>
      <w:szCs w:val="18"/>
      <w:lang w:val="zh-CN" w:eastAsia="zh-CN"/>
    </w:rPr>
  </w:style>
  <w:style w:type="paragraph" w:customStyle="1" w:styleId="18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/>
      <w:kern w:val="0"/>
      <w:sz w:val="24"/>
      <w:szCs w:val="24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817</Words>
  <Characters>891</Characters>
  <TotalTime>3</TotalTime>
  <ScaleCrop>false</ScaleCrop>
  <LinksUpToDate>false</LinksUpToDate>
  <CharactersWithSpaces>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2026-02-13T01:41:00Z</dcterms:created>
  <dc:creator>lvmin</dc:creator>
  <cp:lastModifiedBy>か葉葉&amp; </cp:lastModifiedBy>
  <dcterms:modified xsi:type="dcterms:W3CDTF">2026-02-26T01:58:11Z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eyJoZGlkIjoiZDRlMjcxYzhhZjkyY2RhODhmMTk2NGI1NzdmYWFhYTkiLCJ1c2VySWQiOiI4OTE0MDE2NDYifQ==</vt:lpwstr>
  </property>
  <property fmtid="{D5CDD505-2E9C-101B-9397-08002B2CF9AE}" pid="4" name="ICV">
    <vt:lpwstr>F59AD959C72C49C0841B82CCE9778304_13</vt:lpwstr>
  </property>
</Properties>
</file>