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sz w:val="40"/>
          <w:szCs w:val="28"/>
          <w:lang w:val="en-US" w:eastAsia="zh-CN"/>
        </w:rPr>
      </w:pPr>
      <w:r>
        <w:rPr>
          <w:rFonts w:hint="eastAsia"/>
          <w:sz w:val="40"/>
          <w:szCs w:val="28"/>
          <w:lang w:eastAsia="zh-CN"/>
        </w:rPr>
        <w:t>《深圳市</w:t>
      </w:r>
      <w:r>
        <w:rPr>
          <w:rFonts w:hint="eastAsia"/>
          <w:sz w:val="40"/>
          <w:szCs w:val="28"/>
          <w:lang w:val="en-US" w:eastAsia="zh-CN"/>
        </w:rPr>
        <w:t>水务发展“十五五”规划</w:t>
      </w:r>
      <w:r>
        <w:rPr>
          <w:rFonts w:hint="eastAsia"/>
          <w:sz w:val="40"/>
          <w:szCs w:val="28"/>
          <w:lang w:eastAsia="zh-CN"/>
        </w:rPr>
        <w:t>（征求意见稿）》</w:t>
      </w:r>
      <w:r>
        <w:rPr>
          <w:rFonts w:hint="eastAsia"/>
          <w:sz w:val="40"/>
          <w:szCs w:val="28"/>
          <w:lang w:val="en-US" w:eastAsia="zh-CN"/>
        </w:rPr>
        <w:t>反馈意见及采纳情况一览表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/>
          <w:bCs/>
        </w:rPr>
        <w:t>共回收反馈意见</w:t>
      </w:r>
      <w:r>
        <w:rPr>
          <w:rFonts w:hint="eastAsia" w:cs="仿宋_GB2312"/>
          <w:b/>
          <w:bCs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</w:rPr>
        <w:t>条，采纳</w:t>
      </w:r>
      <w:r>
        <w:rPr>
          <w:rFonts w:hint="eastAsia" w:cs="仿宋_GB2312"/>
          <w:b/>
          <w:bCs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</w:rPr>
        <w:t>条。</w:t>
      </w:r>
    </w:p>
    <w:tbl>
      <w:tblPr>
        <w:tblStyle w:val="9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100"/>
        <w:gridCol w:w="1395"/>
        <w:gridCol w:w="3805"/>
        <w:gridCol w:w="1035"/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6" w:hRule="atLeast"/>
          <w:tblHeader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单位或个人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意见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采纳情况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采纳情况说明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4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个人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建议重视供水水质问题，避免出现水质风险。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采纳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文本提出持续强化饮用水源水质保护，以及强化水质监管，进一步完善水质督察体系等要求，强化水质保障。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4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个人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长岭皮水库能向市民开放吗，大概什么时候能开放，能钓鱼、放风筝吗？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采纳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长岭皮生态示范库建设工程已经开始前期工作，预计2030年可实现对市民开放。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4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个人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深圳有其他地方像大沙河那样可以骑车、遛娃，风景还不错的推荐吗？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采纳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深圳已经开发观古通澜线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、坪山骑行精品线、杨梅坑虹堤碧浪线等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49条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适合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骑车、遛娃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水文旅线路。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4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个人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增加针对城市初期雨水污染控制方面的相关内容。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采纳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我市已开展城市初期雨水污染控制工作，主要依托海绵城市建设，推进雨污分流与初雨调蓄设施建设，开展排口排查整治，强化初期雨水收集处理和面源污染管控。同时已在文本落实降雨溢流管控相关任务：探索开展降雨溢流管控，稳步推进重点溢流口溯源排查及“一口一策”治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47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个人</w:t>
            </w:r>
          </w:p>
        </w:tc>
        <w:tc>
          <w:tcPr>
            <w:tcW w:w="38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建议多开放滨水和水务公共空间，完善休闲步道与便民设施，多举办水文化活动、丰富滨水休闲业态，让大家能亲水散步、休闲游玩，提升日常幸福感。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采纳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文本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提出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“</w:t>
            </w:r>
            <w:r>
              <w:rPr>
                <w:rFonts w:hint="eastAsia" w:cs="仿宋_GB2312"/>
                <w:szCs w:val="32"/>
              </w:rPr>
              <w:t>有序开放非</w:t>
            </w:r>
            <w:r>
              <w:rPr>
                <w:rFonts w:hint="eastAsia"/>
              </w:rPr>
              <w:t>饮用水源</w:t>
            </w:r>
            <w:r>
              <w:rPr>
                <w:rFonts w:hint="eastAsia" w:cs="仿宋_GB2312"/>
                <w:szCs w:val="32"/>
              </w:rPr>
              <w:t>水库、适度开放</w:t>
            </w:r>
            <w:r>
              <w:rPr>
                <w:rFonts w:hint="eastAsia"/>
              </w:rPr>
              <w:t>饮用水源</w:t>
            </w:r>
            <w:r>
              <w:rPr>
                <w:rFonts w:hint="eastAsia" w:cs="仿宋_GB2312"/>
                <w:szCs w:val="32"/>
              </w:rPr>
              <w:t>水库，打造优质河湖水空间，</w:t>
            </w:r>
            <w:r>
              <w:rPr>
                <w:rFonts w:cs="仿宋_GB2312"/>
                <w:szCs w:val="32"/>
              </w:rPr>
              <w:t>完善配套</w:t>
            </w:r>
            <w:r>
              <w:rPr>
                <w:rFonts w:hint="eastAsia" w:cs="仿宋_GB2312"/>
                <w:szCs w:val="32"/>
              </w:rPr>
              <w:t>服务</w:t>
            </w:r>
            <w:r>
              <w:rPr>
                <w:rFonts w:cs="仿宋_GB2312"/>
                <w:szCs w:val="32"/>
              </w:rPr>
              <w:t>设施，满足市民亲水</w:t>
            </w:r>
            <w:r>
              <w:rPr>
                <w:rFonts w:hint="eastAsia" w:cs="仿宋_GB2312"/>
                <w:szCs w:val="32"/>
              </w:rPr>
              <w:t>休闲</w:t>
            </w:r>
            <w:r>
              <w:rPr>
                <w:rFonts w:cs="仿宋_GB2312"/>
                <w:szCs w:val="32"/>
              </w:rPr>
              <w:t>需求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”“</w:t>
            </w:r>
            <w:r>
              <w:rPr>
                <w:rFonts w:hint="eastAsia" w:cs="仿宋_GB2312"/>
                <w:szCs w:val="32"/>
              </w:rPr>
              <w:t>推动水利风景区、水情教育基地、水文化展馆、水文旅线路等载体进一步开放共享，完善配套设施</w:t>
            </w:r>
            <w:r>
              <w:rPr>
                <w:rFonts w:hint="eastAsia" w:cs="仿宋_GB2312"/>
                <w:b w:val="0"/>
                <w:bCs w:val="0"/>
                <w:szCs w:val="21"/>
                <w:lang w:val="en-US" w:eastAsia="zh-CN"/>
              </w:rPr>
              <w:t>”等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水文化水经济规划内容，体现建议的相关要求。</w:t>
            </w:r>
          </w:p>
        </w:tc>
      </w:tr>
    </w:tbl>
    <w:p>
      <w:pPr>
        <w:pStyle w:val="2"/>
        <w:rPr>
          <w:rFonts w:hint="default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52B8"/>
    <w:rsid w:val="13EB48CE"/>
    <w:rsid w:val="164875E9"/>
    <w:rsid w:val="1A560C60"/>
    <w:rsid w:val="1A6A6601"/>
    <w:rsid w:val="1B1724E9"/>
    <w:rsid w:val="1D45227F"/>
    <w:rsid w:val="1EEB0597"/>
    <w:rsid w:val="202D1E06"/>
    <w:rsid w:val="27520E00"/>
    <w:rsid w:val="28AE087C"/>
    <w:rsid w:val="296961CD"/>
    <w:rsid w:val="29AA6B70"/>
    <w:rsid w:val="36E757B6"/>
    <w:rsid w:val="3BB323E1"/>
    <w:rsid w:val="3DF21286"/>
    <w:rsid w:val="407C7E46"/>
    <w:rsid w:val="44543085"/>
    <w:rsid w:val="4CE54B6C"/>
    <w:rsid w:val="50457C96"/>
    <w:rsid w:val="508418FF"/>
    <w:rsid w:val="50FF34DA"/>
    <w:rsid w:val="557F5F05"/>
    <w:rsid w:val="57DD6233"/>
    <w:rsid w:val="58CE6601"/>
    <w:rsid w:val="5A394266"/>
    <w:rsid w:val="5E2A51F5"/>
    <w:rsid w:val="61D93CCA"/>
    <w:rsid w:val="6245665E"/>
    <w:rsid w:val="68F91CAF"/>
    <w:rsid w:val="6C13407A"/>
    <w:rsid w:val="6C17566F"/>
    <w:rsid w:val="6E3C53F8"/>
    <w:rsid w:val="72085AA6"/>
    <w:rsid w:val="75C0070B"/>
    <w:rsid w:val="76BE3E61"/>
    <w:rsid w:val="78AA2D5A"/>
    <w:rsid w:val="7BB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  <w:szCs w:val="30"/>
    </w:rPr>
  </w:style>
  <w:style w:type="paragraph" w:styleId="3">
    <w:name w:val="heading 2"/>
    <w:basedOn w:val="2"/>
    <w:next w:val="1"/>
    <w:link w:val="11"/>
    <w:semiHidden/>
    <w:unhideWhenUsed/>
    <w:qFormat/>
    <w:uiPriority w:val="0"/>
    <w:pPr>
      <w:keepNext/>
      <w:keepLines/>
      <w:spacing w:line="560" w:lineRule="exact"/>
      <w:ind w:firstLine="880" w:firstLineChars="200"/>
      <w:jc w:val="both"/>
      <w:outlineLvl w:val="1"/>
    </w:pPr>
    <w:rPr>
      <w:rFonts w:ascii="黑体" w:hAnsi="黑体" w:eastAsia="黑体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楷体" w:hAnsi="楷体" w:eastAsia="楷体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line="560" w:lineRule="exact"/>
      <w:ind w:firstLine="640" w:firstLineChars="200"/>
    </w:pPr>
    <w:rPr>
      <w:rFonts w:cs="Times New Roman"/>
      <w:kern w:val="0"/>
      <w:szCs w:val="21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1">
    <w:name w:val="标题 2 Char"/>
    <w:link w:val="3"/>
    <w:qFormat/>
    <w:uiPriority w:val="0"/>
    <w:rPr>
      <w:rFonts w:ascii="黑体" w:hAnsi="黑体" w:eastAsia="黑体"/>
      <w:bCs/>
      <w:sz w:val="32"/>
      <w:szCs w:val="32"/>
    </w:rPr>
  </w:style>
  <w:style w:type="character" w:customStyle="1" w:styleId="12">
    <w:name w:val="fontstyle01"/>
    <w:basedOn w:val="10"/>
    <w:qFormat/>
    <w:uiPriority w:val="0"/>
    <w:rPr>
      <w:rFonts w:ascii="仿宋_GB2312" w:hAnsi="Times New Roman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2025-02-20T01:27:00Z</dcterms:created>
  <dc:creator>lenovo</dc:creator>
  <cp:lastModifiedBy>lenovo</cp:lastModifiedBy>
  <dcterms:modified xsi:type="dcterms:W3CDTF">2026-05-19T10:26:12Z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