
<file path=[Content_Types].xml><?xml version="1.0" encoding="utf-8"?>
<Types xmlns="http://schemas.openxmlformats.org/package/2006/content-types">
  <Default Extension="jpeg" ContentType="image/jpeg"/>
  <Default Extension="png" ContentType="image/png"/>
  <Default Extension="xml" ContentType="application/xml"/>
  <Default Extension="wmf" ContentType="image/x-wmf"/>
  <Default Extension="rels" ContentType="application/vnd.openxmlformats-package.relationships+xml"/>
  <Default Extension="bin" ContentType="application/vnd.openxmlformats-officedocument.oleObject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Lines w:val="false"/>
        <w:keepNext w:val="false"/>
        <w:pageBreakBefore w:val="false"/>
        <w:spacing w:lineRule="exact" w:line="560"/>
        <w:snapToGrid/>
        <w:rPr>
          <w:rFonts w:ascii="方正小标宋_GBK" w:hAnsi="方正小标宋_GBK" w:cs="方正小标宋_GBK" w:eastAsia="方正小标宋_GBK" w:hint="eastAsia"/>
          <w:sz w:val="44"/>
          <w:szCs w:val="44"/>
        </w:rPr>
        <w:outlineLvl w:val="0"/>
      </w:pPr>
      <w:r>
        <w:rPr>
          <w:rFonts w:ascii="方正小标宋_GBK" w:hAnsi="方正小标宋_GBK" w:cs="方正小标宋_GBK" w:eastAsia="方正小标宋_GBK" w:hint="eastAsia"/>
          <w:sz w:val="44"/>
          <w:szCs w:val="44"/>
        </w:rPr>
      </w:r>
      <w:r/>
    </w:p>
    <w:p>
      <w:pPr>
        <w:jc w:val="center"/>
        <w:keepLines w:val="false"/>
        <w:keepNext w:val="false"/>
        <w:pageBreakBefore w:val="false"/>
        <w:spacing w:lineRule="exact" w:line="560"/>
        <w:snapToGrid/>
        <w:rPr>
          <w:rFonts w:ascii="方正小标宋_GBK" w:hAnsi="方正小标宋_GBK" w:cs="方正小标宋_GBK" w:eastAsia="方正小标宋_GBK" w:hint="eastAsia"/>
          <w:sz w:val="44"/>
          <w:szCs w:val="44"/>
        </w:rPr>
        <w:outlineLvl w:val="0"/>
      </w:pPr>
      <w:r>
        <w:rPr>
          <w:rFonts w:ascii="方正小标宋_GBK" w:hAnsi="方正小标宋_GBK" w:cs="方正小标宋_GBK" w:eastAsia="方正小标宋_GBK" w:hint="eastAsia"/>
          <w:sz w:val="44"/>
          <w:szCs w:val="44"/>
        </w:rPr>
        <w:t xml:space="preserve">深圳市水务局20</w:t>
      </w:r>
      <w:r>
        <w:rPr>
          <w:rFonts w:ascii="方正小标宋_GBK" w:hAnsi="方正小标宋_GBK" w:cs="方正小标宋_GBK" w:eastAsia="方正小标宋_GBK" w:hint="eastAsia"/>
          <w:sz w:val="44"/>
          <w:szCs w:val="44"/>
          <w:lang w:val="en-US" w:eastAsia="zh-CN"/>
        </w:rPr>
        <w:t xml:space="preserve">26</w:t>
      </w:r>
      <w:r>
        <w:rPr>
          <w:rFonts w:ascii="方正小标宋_GBK" w:hAnsi="方正小标宋_GBK" w:cs="方正小标宋_GBK" w:eastAsia="方正小标宋_GBK" w:hint="eastAsia"/>
          <w:sz w:val="44"/>
          <w:szCs w:val="44"/>
        </w:rPr>
        <w:t xml:space="preserve">年</w:t>
      </w:r>
      <w:r>
        <w:rPr>
          <w:rFonts w:ascii="方正小标宋_GBK" w:hAnsi="方正小标宋_GBK" w:cs="方正小标宋_GBK" w:eastAsia="方正小标宋_GBK" w:hint="eastAsia"/>
          <w:sz w:val="44"/>
          <w:szCs w:val="44"/>
          <w:lang w:val="en-US" w:eastAsia="zh-CN"/>
        </w:rPr>
        <w:t xml:space="preserve">6</w:t>
      </w:r>
      <w:r>
        <w:rPr>
          <w:rFonts w:ascii="方正小标宋_GBK" w:hAnsi="方正小标宋_GBK" w:cs="方正小标宋_GBK" w:eastAsia="方正小标宋_GBK" w:hint="eastAsia"/>
          <w:sz w:val="44"/>
          <w:szCs w:val="44"/>
        </w:rPr>
        <w:t xml:space="preserve">月</w:t>
      </w:r>
      <w:r>
        <w:rPr>
          <w:rFonts w:ascii="方正小标宋_GBK" w:hAnsi="方正小标宋_GBK" w:cs="方正小标宋_GBK" w:eastAsia="方正小标宋_GBK" w:hint="eastAsia"/>
          <w:sz w:val="44"/>
          <w:szCs w:val="44"/>
          <w:lang w:eastAsia="zh-CN"/>
        </w:rPr>
        <w:t xml:space="preserve">自来水</w:t>
      </w:r>
      <w:r>
        <w:rPr>
          <w:rFonts w:ascii="方正小标宋_GBK" w:hAnsi="方正小标宋_GBK" w:cs="方正小标宋_GBK" w:eastAsia="方正小标宋_GBK" w:hint="eastAsia"/>
          <w:sz w:val="44"/>
          <w:szCs w:val="44"/>
        </w:rPr>
        <w:t xml:space="preserve">水质公报</w:t>
      </w:r>
      <w:r/>
    </w:p>
    <w:p>
      <w:pPr>
        <w:jc w:val="center"/>
        <w:keepLines w:val="false"/>
        <w:keepNext w:val="false"/>
        <w:pageBreakBefore w:val="false"/>
        <w:spacing w:lineRule="exact" w:line="560"/>
        <w:snapToGrid/>
        <w:rPr>
          <w:rFonts w:ascii="方正小标宋_GBK" w:hAnsi="方正小标宋_GBK" w:cs="方正小标宋_GBK" w:eastAsia="方正小标宋_GBK" w:hint="eastAsia"/>
          <w:sz w:val="44"/>
          <w:szCs w:val="44"/>
        </w:rPr>
      </w:pPr>
      <w:r>
        <w:rPr>
          <w:rFonts w:ascii="方正小标宋_GBK" w:hAnsi="方正小标宋_GBK" w:cs="方正小标宋_GBK" w:eastAsia="方正小标宋_GBK" w:hint="eastAsia"/>
          <w:sz w:val="44"/>
          <w:szCs w:val="44"/>
        </w:rPr>
      </w:r>
      <w:r/>
    </w:p>
    <w:p>
      <w:pPr>
        <w:ind w:firstLine="640" w:firstLineChars="200"/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 w:hint="eastAsia"/>
          <w:sz w:val="32"/>
          <w:szCs w:val="32"/>
          <w:lang w:eastAsia="zh-CN"/>
        </w:rPr>
      </w:pPr>
      <w:r>
        <w:rPr>
          <w:rFonts w:ascii="仿宋_GB2312" w:hAnsi="Calibri" w:eastAsia="仿宋_GB2312" w:hint="eastAsia"/>
          <w:sz w:val="32"/>
          <w:szCs w:val="32"/>
        </w:rPr>
        <w:t xml:space="preserve">根据</w:t>
      </w:r>
      <w:r>
        <w:rPr>
          <w:rFonts w:ascii="仿宋_GB2312" w:hAnsi="Calibri" w:cs="仿宋_GB2312" w:eastAsia="仿宋_GB2312" w:hint="eastAsia"/>
          <w:color w:val="000000"/>
          <w:sz w:val="32"/>
          <w:kern w:val="0"/>
          <w:szCs w:val="32"/>
          <w:lang w:val="en-US" w:bidi="ar" w:eastAsia="zh-CN"/>
        </w:rPr>
        <w:t xml:space="preserve">《深圳</w:t>
      </w:r>
      <w:r>
        <w:rPr>
          <w:rFonts w:ascii="仿宋_GB2312" w:hAnsi="Calibri" w:cs="仿宋_GB2312" w:eastAsia="仿宋_GB2312" w:hint="eastAsia"/>
          <w:color w:val="000000" w:themeColor="text1"/>
          <w:sz w:val="32"/>
          <w:kern w:val="0"/>
          <w:szCs w:val="32"/>
          <w:lang w:val="en-US" w:bidi="ar" w:eastAsia="zh-CN"/>
          <w14:textFill>
            <w14:solidFill>
              <w14:schemeClr w14:val="tx1"/>
            </w14:solidFill>
          </w14:textFill>
        </w:rPr>
        <w:t xml:space="preserve">市2026年度自来水</w:t>
      </w:r>
      <w:r>
        <w:rPr>
          <w:rFonts w:ascii="仿宋_GB2312" w:hAnsi="Calibri" w:cs="仿宋_GB2312" w:eastAsia="仿宋_GB2312" w:hint="eastAsia"/>
          <w:color w:val="000000"/>
          <w:sz w:val="32"/>
          <w:kern w:val="0"/>
          <w:szCs w:val="32"/>
          <w:lang w:val="en-US" w:bidi="ar" w:eastAsia="zh-CN"/>
        </w:rPr>
        <w:t xml:space="preserve">水质督察实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施方案》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，202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6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年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6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月，我局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抽检了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全市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 xml:space="preserve">在运行的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40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 xml:space="preserve">家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水厂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的40份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出厂水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和41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 xml:space="preserve">份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管网水，现将水质抽检结果向社会公布（见附表）。检测结果表明，依据DB4403/T 60-2020《生活饮用水水质标准》，</w:t>
      </w:r>
      <w:r>
        <w:rPr>
          <w:rFonts w:ascii="仿宋_GB2312" w:hAnsi="Calibri" w:eastAsia="仿宋_GB2312" w:hint="eastAsia"/>
          <w:color w:val="auto"/>
          <w:sz w:val="32"/>
          <w:szCs w:val="32"/>
          <w:lang w:val="en-US" w:eastAsia="zh-CN"/>
        </w:rPr>
        <w:t xml:space="preserve">40</w:t>
      </w:r>
      <w:r>
        <w:rPr>
          <w:rFonts w:ascii="仿宋_GB2312" w:hAnsi="Calibri" w:cs="Times New Roman" w:eastAsia="仿宋_GB2312" w:hint="eastAsia"/>
          <w:color w:val="auto"/>
          <w:sz w:val="32"/>
          <w:szCs w:val="32"/>
          <w:lang w:val="en-US" w:eastAsia="zh-CN"/>
        </w:rPr>
        <w:t xml:space="preserve">份</w:t>
      </w:r>
      <w:r>
        <w:rPr>
          <w:rFonts w:ascii="仿宋_GB2312" w:hAnsi="Calibri" w:cs="Times New Roman" w:eastAsia="仿宋_GB2312" w:hint="eastAsia"/>
          <w:color w:val="auto"/>
          <w:sz w:val="32"/>
          <w:szCs w:val="32"/>
          <w:lang w:eastAsia="zh-CN"/>
        </w:rPr>
        <w:t xml:space="preserve">出厂水水样的</w:t>
      </w:r>
      <w:r>
        <w:rPr>
          <w:rFonts w:ascii="仿宋_GB2312" w:hAnsi="Calibri" w:eastAsia="仿宋_GB2312" w:hint="eastAsia"/>
          <w:sz w:val="32"/>
          <w:szCs w:val="32"/>
        </w:rPr>
        <w:t xml:space="preserve">浑浊度、消毒剂（游离氯或二氧化氯）、肉眼可见物、pH、色度、菌落总数、总大肠菌群</w:t>
      </w:r>
      <w:r>
        <w:rPr>
          <w:rFonts w:ascii="仿宋_GB2312" w:hAnsi="Calibri" w:eastAsia="仿宋_GB2312" w:hint="eastAsia"/>
          <w:sz w:val="32"/>
          <w:szCs w:val="32"/>
          <w:lang w:eastAsia="zh-CN"/>
        </w:rPr>
        <w:t xml:space="preserve">、三卤甲烷、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2-甲基异莰醇</w:t>
      </w:r>
      <w:r>
        <w:rPr>
          <w:rFonts w:ascii="仿宋_GB2312" w:hAnsi="Calibri" w:eastAsia="仿宋_GB2312" w:hint="eastAsia"/>
          <w:sz w:val="32"/>
          <w:szCs w:val="32"/>
        </w:rPr>
        <w:t xml:space="preserve">及臭和味共</w:t>
      </w:r>
      <w:r>
        <w:rPr>
          <w:rFonts w:ascii="仿宋_GB2312" w:hAnsi="Calibri" w:eastAsia="仿宋_GB2312" w:hint="eastAsia"/>
          <w:color w:val="auto"/>
          <w:sz w:val="32"/>
          <w:szCs w:val="32"/>
          <w:lang w:val="en-US" w:eastAsia="zh-CN"/>
        </w:rPr>
        <w:t xml:space="preserve">10</w:t>
      </w:r>
      <w:r>
        <w:rPr>
          <w:rFonts w:ascii="仿宋_GB2312" w:hAnsi="Calibri" w:eastAsia="仿宋_GB2312" w:hint="eastAsia"/>
          <w:sz w:val="32"/>
          <w:szCs w:val="32"/>
        </w:rPr>
        <w:t xml:space="preserve">项指标全部符合该标准的规定</w:t>
      </w:r>
      <w:r>
        <w:rPr>
          <w:rFonts w:ascii="仿宋_GB2312" w:hAnsi="Calibri" w:cs="Times New Roman" w:eastAsia="仿宋_GB2312" w:hint="eastAsia"/>
          <w:color w:val="auto"/>
          <w:sz w:val="32"/>
          <w:szCs w:val="32"/>
          <w:lang w:val="en-US" w:eastAsia="zh-CN"/>
        </w:rPr>
        <w:t xml:space="preserve">，</w:t>
      </w:r>
      <w:r>
        <w:rPr>
          <w:rFonts w:ascii="仿宋_GB2312" w:hAnsi="Calibri" w:cs="Times New Roman" w:eastAsia="仿宋_GB2312" w:hint="eastAsia"/>
          <w:sz w:val="32"/>
          <w:szCs w:val="32"/>
          <w:lang w:val="en-US" w:eastAsia="zh-CN"/>
        </w:rPr>
        <w:t xml:space="preserve">41份</w:t>
      </w:r>
      <w:r>
        <w:rPr>
          <w:rFonts w:ascii="仿宋_GB2312" w:hAnsi="Calibri" w:cs="Times New Roman" w:eastAsia="仿宋_GB2312" w:hint="eastAsia"/>
          <w:sz w:val="32"/>
          <w:szCs w:val="32"/>
        </w:rPr>
        <w:t xml:space="preserve">管网水</w:t>
      </w:r>
      <w:r>
        <w:rPr>
          <w:rFonts w:ascii="仿宋_GB2312" w:hAnsi="Calibri" w:cs="Times New Roman" w:eastAsia="仿宋_GB2312" w:hint="eastAsia"/>
          <w:sz w:val="32"/>
          <w:szCs w:val="32"/>
          <w:lang w:eastAsia="zh-CN"/>
        </w:rPr>
        <w:t xml:space="preserve">水样</w:t>
      </w:r>
      <w:r>
        <w:rPr>
          <w:rFonts w:ascii="仿宋_GB2312" w:hAnsi="Calibri" w:cs="Times New Roman" w:eastAsia="仿宋_GB2312" w:hint="eastAsia"/>
          <w:sz w:val="32"/>
          <w:szCs w:val="32"/>
        </w:rPr>
        <w:t xml:space="preserve">的浑浊度、消毒剂（游离氯或二氧化氯）、肉眼可见物、色度、pH、菌落总数、总大肠菌群及臭和味共</w:t>
      </w:r>
      <w:r>
        <w:rPr>
          <w:rFonts w:ascii="仿宋_GB2312" w:hAnsi="Calibri" w:cs="Times New Roman" w:eastAsia="仿宋_GB2312" w:hint="eastAsia"/>
          <w:sz w:val="32"/>
          <w:szCs w:val="32"/>
          <w:lang w:val="en-US" w:eastAsia="zh-CN"/>
        </w:rPr>
        <w:t xml:space="preserve">8</w:t>
      </w:r>
      <w:r>
        <w:rPr>
          <w:rFonts w:ascii="仿宋_GB2312" w:hAnsi="Calibri" w:cs="Times New Roman" w:eastAsia="仿宋_GB2312" w:hint="eastAsia"/>
          <w:sz w:val="32"/>
          <w:szCs w:val="32"/>
        </w:rPr>
        <w:t xml:space="preserve">项指标全</w:t>
      </w:r>
      <w:r>
        <w:rPr>
          <w:rFonts w:ascii="仿宋_GB2312" w:hAnsi="Calibri" w:eastAsia="仿宋_GB2312" w:hint="eastAsia"/>
          <w:sz w:val="32"/>
          <w:szCs w:val="32"/>
        </w:rPr>
        <w:t xml:space="preserve">部符合该标准的规定</w:t>
      </w:r>
      <w:r>
        <w:rPr>
          <w:rFonts w:ascii="仿宋_GB2312" w:hAnsi="Calibri" w:eastAsia="仿宋_GB2312" w:hint="eastAsia"/>
          <w:sz w:val="32"/>
          <w:szCs w:val="32"/>
          <w:lang w:eastAsia="zh-CN"/>
        </w:rPr>
        <w:t xml:space="preserve">。</w:t>
      </w:r>
      <w:r>
        <w:rPr>
          <w:rFonts w:ascii="仿宋_GB2312" w:hAnsi="Calibri" w:eastAsia="仿宋_GB2312" w:hint="eastAsia"/>
          <w:sz w:val="32"/>
          <w:szCs w:val="32"/>
        </w:rPr>
        <w:t xml:space="preserve">出厂水水样合格率为</w:t>
      </w:r>
      <w:r>
        <w:rPr>
          <w:rFonts w:ascii="仿宋_GB2312" w:hAnsi="Calibri" w:eastAsia="仿宋_GB2312" w:hint="default"/>
          <w:sz w:val="32"/>
          <w:szCs w:val="32"/>
          <w:lang w:val="en" w:eastAsia="zh-CN"/>
        </w:rPr>
        <w:t xml:space="preserve">100</w:t>
      </w:r>
      <w:r>
        <w:rPr>
          <w:rFonts w:ascii="仿宋_GB2312" w:hAnsi="Calibri" w:eastAsia="仿宋_GB2312" w:hint="eastAsia"/>
          <w:color w:val="auto"/>
          <w:sz w:val="32"/>
          <w:szCs w:val="32"/>
        </w:rPr>
        <w:t xml:space="preserve">%</w:t>
      </w:r>
      <w:r>
        <w:rPr>
          <w:rFonts w:ascii="仿宋_GB2312" w:hAnsi="Calibri" w:eastAsia="仿宋_GB2312" w:hint="eastAsia"/>
          <w:sz w:val="32"/>
          <w:szCs w:val="32"/>
        </w:rPr>
        <w:t xml:space="preserve">，管网水合格率为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100</w:t>
      </w:r>
      <w:r>
        <w:rPr>
          <w:rFonts w:ascii="仿宋_GB2312" w:hAnsi="Calibri" w:eastAsia="仿宋_GB2312" w:hint="eastAsia"/>
          <w:sz w:val="32"/>
          <w:szCs w:val="32"/>
        </w:rPr>
        <w:t xml:space="preserve">%</w:t>
      </w:r>
      <w:r>
        <w:rPr>
          <w:rFonts w:ascii="仿宋_GB2312" w:hAnsi="Calibri" w:eastAsia="仿宋_GB2312" w:hint="eastAsia"/>
          <w:sz w:val="32"/>
          <w:szCs w:val="32"/>
          <w:lang w:eastAsia="zh-CN"/>
        </w:rPr>
        <w:t xml:space="preserve">。</w:t>
      </w:r>
      <w:r/>
    </w:p>
    <w:p>
      <w:pPr>
        <w:ind w:firstLine="640" w:firstLineChars="200"/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</w:rPr>
        <w:t xml:space="preserve">深圳市水务局供水咨询电话：83072200  </w:t>
      </w:r>
      <w:r/>
    </w:p>
    <w:p>
      <w:pPr>
        <w:ind w:firstLine="640" w:firstLineChars="200"/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 w:hint="default"/>
          <w:sz w:val="32"/>
          <w:szCs w:val="32"/>
          <w:lang w:val="en-US" w:eastAsia="zh-CN"/>
        </w:rPr>
      </w:pPr>
      <w:r>
        <w:rPr>
          <w:rFonts w:ascii="仿宋_GB2312" w:hAnsi="Calibri" w:eastAsia="仿宋_GB2312" w:hint="eastAsia"/>
          <w:sz w:val="32"/>
          <w:szCs w:val="32"/>
        </w:rPr>
        <w:t xml:space="preserve">深圳市水文水质中心咨询电话：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26701099</w:t>
      </w:r>
      <w:r/>
    </w:p>
    <w:p>
      <w:pPr>
        <w:pStyle w:val="bs1014"/>
        <w:ind w:left="0" w:right="0" w:firstLine="640" w:firstLineChars="200"/>
        <w:jc w:val="left"/>
        <w:keepLines w:val="false"/>
        <w:keepNext w:val="false"/>
        <w:pageBreakBefore w:val="false"/>
        <w:spacing w:lineRule="exact" w:line="560" w:after="0" w:afterAutospacing="0" w:before="0" w:beforeAutospacing="0"/>
        <w:snapToGrid/>
        <w:shd w:val="clear" w:color="auto" w:fill="FFFFFF"/>
        <w:widowControl/>
        <w:rPr>
          <w:rFonts w:ascii="仿宋_GB2312" w:hAnsi="Calibri" w:cs="Times New Roman" w:eastAsia="仿宋_GB2312" w:hint="eastAsia"/>
          <w:sz w:val="32"/>
          <w:kern w:val="2"/>
          <w:szCs w:val="32"/>
          <w:lang w:val="en-US" w:bidi="ar-SA" w:eastAsia="zh-CN"/>
        </w:rPr>
      </w:pPr>
      <w:r>
        <w:rPr>
          <w:rFonts w:ascii="仿宋_GB2312" w:hAnsi="Calibri" w:cs="Times New Roman" w:eastAsia="仿宋_GB2312" w:hint="eastAsia"/>
          <w:sz w:val="32"/>
          <w:kern w:val="2"/>
          <w:szCs w:val="32"/>
          <w:lang w:val="en-US" w:bidi="ar-SA" w:eastAsia="zh-CN"/>
        </w:rPr>
        <w:t xml:space="preserve">详情请登录深圳市水务局官方网站</w:t>
      </w:r>
      <w:r/>
    </w:p>
    <w:p>
      <w:pPr>
        <w:ind w:firstLine="640" w:firstLineChars="200"/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 w:hint="eastAsia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</w:rPr>
        <w:t xml:space="preserve">网址：</w:t>
      </w:r>
      <w:r>
        <w:fldChar w:fldCharType="begin"/>
      </w:r>
      <w:r>
        <w:instrText xml:space="preserve"> HYPERLINK "http://swj.sz.gov.cn/" </w:instrText>
      </w:r>
      <w:r>
        <w:fldChar w:fldCharType="separate"/>
      </w:r>
      <w:r>
        <w:rPr>
          <w:rFonts w:ascii="仿宋_GB2312" w:hAnsi="Calibri" w:eastAsia="仿宋_GB2312" w:hint="eastAsia"/>
          <w:sz w:val="32"/>
          <w:szCs w:val="32"/>
        </w:rPr>
        <w:t xml:space="preserve">http://swj.sz.gov.cn/</w:t>
      </w:r>
      <w:r>
        <w:rPr>
          <w:rFonts w:ascii="仿宋_GB2312" w:hAnsi="Calibri" w:eastAsia="仿宋_GB2312" w:hint="eastAsia"/>
          <w:sz w:val="32"/>
          <w:szCs w:val="32"/>
        </w:rPr>
        <w:fldChar w:fldCharType="end"/>
      </w:r>
      <w:r/>
    </w:p>
    <w:p>
      <w:pPr>
        <w:ind w:firstLine="640" w:firstLineChars="200"/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 w:hint="eastAsia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</w:rPr>
      </w:r>
      <w:r/>
    </w:p>
    <w:p>
      <w:pPr>
        <w:ind w:firstLine="640" w:firstLineChars="200"/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 w:hint="eastAsia"/>
          <w:sz w:val="32"/>
          <w:szCs w:val="32"/>
        </w:rPr>
      </w:pPr>
      <w:r/>
      <w:bookmarkStart w:id="0" w:name="_GoBack"/>
      <w:r/>
      <w:bookmarkEnd w:id="0"/>
      <w:r/>
      <w:r/>
    </w:p>
    <w:p>
      <w:pPr>
        <w:ind w:firstLine="640" w:firstLineChars="200"/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 w:hint="default"/>
          <w:sz w:val="32"/>
          <w:szCs w:val="32"/>
          <w:lang w:val="en-US" w:eastAsia="zh-CN"/>
        </w:rPr>
      </w:pP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                                    深圳市水务局</w:t>
      </w:r>
      <w:r/>
    </w:p>
    <w:p>
      <w:pPr>
        <w:ind w:firstLine="6080" w:firstLineChars="1900"/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2</w:t>
      </w:r>
      <w:r>
        <w:rPr>
          <w:rFonts w:ascii="仿宋_GB2312" w:hAnsi="Calibri" w:eastAsia="仿宋_GB2312"/>
          <w:sz w:val="32"/>
          <w:szCs w:val="32"/>
        </w:rPr>
        <w:t xml:space="preserve">0</w:t>
      </w:r>
      <w:r>
        <w:rPr>
          <w:rFonts w:ascii="仿宋_GB2312" w:hAnsi="Calibri" w:eastAsia="仿宋_GB2312" w:hint="eastAsia"/>
          <w:sz w:val="32"/>
          <w:szCs w:val="32"/>
        </w:rPr>
        <w:t xml:space="preserve">2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6</w:t>
      </w:r>
      <w:r>
        <w:rPr>
          <w:rFonts w:ascii="仿宋_GB2312" w:hAnsi="Calibri" w:eastAsia="仿宋_GB2312"/>
          <w:sz w:val="32"/>
          <w:szCs w:val="32"/>
        </w:rPr>
        <w:t xml:space="preserve">年</w:t>
      </w:r>
      <w:r>
        <w:rPr>
          <w:rFonts w:ascii="仿宋_GB2312" w:hAnsi="Calibri" w:eastAsia="仿宋_GB2312" w:hint="default"/>
          <w:sz w:val="32"/>
          <w:szCs w:val="32"/>
          <w:lang w:val="en-US" w:eastAsia="zh-CN"/>
        </w:rPr>
        <w:t xml:space="preserve">6</w:t>
      </w:r>
      <w:r>
        <w:rPr>
          <w:rFonts w:ascii="仿宋_GB2312" w:hAnsi="Calibri" w:eastAsia="仿宋_GB2312"/>
          <w:sz w:val="32"/>
          <w:szCs w:val="32"/>
        </w:rPr>
        <w:t xml:space="preserve">月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25</w:t>
      </w:r>
      <w:r>
        <w:rPr>
          <w:rFonts w:ascii="仿宋_GB2312" w:hAnsi="Calibri" w:eastAsia="仿宋_GB2312"/>
          <w:sz w:val="32"/>
          <w:szCs w:val="32"/>
        </w:rPr>
        <w:t xml:space="preserve">日</w:t>
      </w:r>
      <w:r/>
    </w:p>
    <w:p>
      <w:pPr>
        <w:keepLines w:val="false"/>
        <w:keepNext w:val="false"/>
        <w:pageBreakBefore w:val="false"/>
        <w:spacing w:lineRule="exact" w:line="560"/>
        <w:snapToGrid/>
        <w:rPr>
          <w:rFonts w:ascii="仿宋_GB2312" w:hAnsi="Calibri" w:eastAsia="仿宋_GB2312"/>
          <w:sz w:val="32"/>
          <w:szCs w:val="32"/>
          <w:highlight w:val="yellow"/>
        </w:rPr>
        <w:sectPr>
          <w:footnotePr/>
          <w:type w:val="nextPage"/>
          <w:pgSz w:w="11906" w:h="16838" w:orient="portrait"/>
          <w:pgMar w:top="2098" w:right="1474" w:bottom="1985" w:left="1588" w:header="851" w:footer="992" w:gutter="0"/>
          <w:pgNumType w:fmt="decimal"/>
          <w:cols w:num="1" w:sep="0" w:space="720" w:equalWidth="1"/>
          <w:docGrid w:charSpace="0" w:linePitch="312" w:type="lines"/>
        </w:sectPr>
      </w:pPr>
      <w:r>
        <w:rPr>
          <w:rFonts w:ascii="仿宋_GB2312" w:hAnsi="Calibri" w:eastAsia="仿宋_GB2312"/>
          <w:sz w:val="32"/>
          <w:szCs w:val="32"/>
          <w:highlight w:val="yellow"/>
        </w:rPr>
      </w:r>
      <w:r/>
    </w:p>
    <w:p>
      <w:pPr>
        <w:jc w:val="center"/>
        <w:spacing w:lineRule="exact" w:line="440" w:beforeLines="100" w:afterLines="50"/>
        <w:rPr>
          <w:rFonts w:ascii="宋体" w:hAnsi="Calibri" w:eastAsia="宋体" w:hint="eastAsia"/>
          <w:b/>
          <w:bCs/>
          <w:sz w:val="44"/>
          <w:szCs w:val="44"/>
        </w:rPr>
      </w:pPr>
      <w:r>
        <w:rPr>
          <w:rFonts w:ascii="宋体" w:hAnsi="Calibri" w:eastAsia="宋体"/>
          <w:b/>
          <w:bCs/>
          <w:sz w:val="44"/>
          <w:szCs w:val="44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130175</wp:posOffset>
                </wp:positionV>
                <wp:extent cx="820420" cy="504825"/>
                <wp:effectExtent l="0" t="0" r="17780" b="9525"/>
                <wp:wrapNone/>
                <wp:docPr id="1" name="文本框 2" hidden="false"/>
                <wp:cNvGraphicFramePr>
                  <a:graphicFrameLocks xmlns:a="http://schemas.openxmlformats.org/drawingml/2006/main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042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hAnsi="黑体" w:eastAsia="黑体" w:hint="eastAsia"/>
                                <w:sz w:val="32"/>
                                <w:szCs w:val="32"/>
                              </w:rPr>
                              <w:t xml:space="preserve">附表1</w:t>
                            </w:r>
                            <w:r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style="position:absolute;visibility:visible;mso-wrap-style:square;mso-wrap-distance-left:9.0pt;mso-wrap-distance-top:0.0pt;mso-wrap-distance-right:9.0pt;mso-wrap-distance-bottom:0.0pt;z-index:251659264;o:allowoverlap:true;o:allowincell:true;mso-position-horizontal-relative:text;margin-left:8.1pt;mso-position-horizontal:absolute;mso-position-vertical-relative:text;margin-top:10.2pt;mso-position-vertical:absolute;width:64.6pt;height:39.8pt;" coordsize="100000,100000" path="" fillcolor="#FFFFFF">
                <v:path textboxrect="0,0,0,0"/>
                <v:textbox>
                  <w:txbxContent>
                    <w:p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hAnsi="黑体" w:eastAsia="黑体" w:hint="eastAsia"/>
                          <w:sz w:val="32"/>
                          <w:szCs w:val="32"/>
                        </w:rPr>
                        <w:t xml:space="preserve">附表1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jc w:val="center"/>
        <w:spacing w:lineRule="exact" w:line="440" w:beforeLines="100" w:afterLines="50"/>
        <w:rPr>
          <w:rFonts w:ascii="宋体" w:hAnsi="Calibri" w:eastAsia="宋体" w:hint="eastAsia"/>
          <w:b/>
          <w:bCs/>
          <w:sz w:val="44"/>
          <w:szCs w:val="44"/>
        </w:rPr>
      </w:pPr>
      <w:r>
        <w:rPr>
          <w:rFonts w:ascii="宋体" w:hAnsi="Calibri" w:eastAsia="宋体" w:hint="eastAsia"/>
          <w:b/>
          <w:bCs/>
          <w:sz w:val="44"/>
          <w:szCs w:val="44"/>
        </w:rPr>
        <w:t xml:space="preserve">深圳市202</w:t>
      </w:r>
      <w:r>
        <w:rPr>
          <w:rFonts w:ascii="宋体" w:hAnsi="Calibri" w:eastAsia="宋体" w:hint="eastAsia"/>
          <w:b/>
          <w:bCs/>
          <w:sz w:val="44"/>
          <w:szCs w:val="44"/>
          <w:lang w:val="en-US" w:eastAsia="zh-CN"/>
        </w:rPr>
        <w:t xml:space="preserve">6</w:t>
      </w:r>
      <w:r>
        <w:rPr>
          <w:rFonts w:ascii="宋体" w:hAnsi="Calibri" w:eastAsia="宋体" w:hint="eastAsia"/>
          <w:b/>
          <w:bCs/>
          <w:sz w:val="44"/>
          <w:szCs w:val="44"/>
        </w:rPr>
        <w:t xml:space="preserve">年</w:t>
      </w:r>
      <w:r>
        <w:rPr>
          <w:rFonts w:ascii="宋体" w:hAnsi="Calibri" w:eastAsia="宋体" w:hint="eastAsia"/>
          <w:b/>
          <w:bCs/>
          <w:sz w:val="44"/>
          <w:szCs w:val="44"/>
          <w:lang w:val="en-US" w:eastAsia="zh-CN"/>
        </w:rPr>
        <w:t xml:space="preserve">06</w:t>
      </w:r>
      <w:r>
        <w:rPr>
          <w:rFonts w:ascii="宋体" w:hAnsi="Calibri" w:eastAsia="宋体" w:hint="eastAsia"/>
          <w:b/>
          <w:bCs/>
          <w:sz w:val="44"/>
          <w:szCs w:val="44"/>
        </w:rPr>
        <w:t xml:space="preserve">月</w:t>
      </w:r>
      <w:r>
        <w:rPr>
          <w:rFonts w:ascii="宋体" w:hAnsi="Calibri" w:eastAsia="宋体" w:hint="eastAsia"/>
          <w:b/>
          <w:bCs/>
          <w:sz w:val="44"/>
          <w:szCs w:val="44"/>
          <w:lang w:eastAsia="zh-CN"/>
        </w:rPr>
        <w:t xml:space="preserve">自来水</w:t>
      </w:r>
      <w:r>
        <w:rPr>
          <w:rFonts w:ascii="宋体" w:hAnsi="Calibri" w:eastAsia="宋体" w:hint="eastAsia"/>
          <w:b/>
          <w:bCs/>
          <w:sz w:val="44"/>
          <w:szCs w:val="44"/>
        </w:rPr>
        <w:t xml:space="preserve">水质检测结果汇总表</w:t>
      </w:r>
      <w:r/>
    </w:p>
    <w:tbl>
      <w:tblPr>
        <w:tblStyle w:val="bs1005"/>
        <w:tblW w:w="0" w:type="auto"/>
        <w:tblInd w:w="-113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shd w:val="clear" w:fill="auto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"/>
        <w:gridCol w:w="1512"/>
        <w:gridCol w:w="1472"/>
        <w:gridCol w:w="825"/>
        <w:gridCol w:w="855"/>
        <w:gridCol w:w="630"/>
        <w:gridCol w:w="675"/>
        <w:gridCol w:w="735"/>
        <w:gridCol w:w="1020"/>
        <w:gridCol w:w="1260"/>
        <w:gridCol w:w="1365"/>
        <w:gridCol w:w="1461"/>
        <w:gridCol w:w="875"/>
        <w:gridCol w:w="812"/>
        <w:gridCol w:w="1312"/>
        <w:gridCol w:w="825"/>
        <w:gridCol w:w="775"/>
        <w:gridCol w:w="612"/>
        <w:gridCol w:w="1044"/>
        <w:gridCol w:w="1100"/>
        <w:gridCol w:w="1221"/>
        <w:gridCol w:w="945"/>
        <w:gridCol w:w="701"/>
        <w:gridCol w:w="768"/>
      </w:tblGrid>
      <w:tr>
        <w:trPr>
          <w:trHeight w:val="394"/>
          <w:tblHeader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</w:tcBorders>
            <w:tcW w:w="48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eastAsia="zh-CN"/>
              </w:rPr>
              <w:t xml:space="preserve">序号</w:t>
            </w:r>
            <w:r/>
          </w:p>
        </w:tc>
        <w:tc>
          <w:tcPr>
            <w:shd w:val="clear" w:fill="auto"/>
            <w:tcBorders>
              <w:top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eastAsia="zh-CN"/>
              </w:rPr>
              <w:t xml:space="preserve">水司名称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类别</w:t>
            </w:r>
            <w:r/>
          </w:p>
        </w:tc>
        <w:tc>
          <w:tcPr>
            <w:gridSpan w:val="11"/>
            <w:shd w:val="clear" w:fill="auto"/>
            <w:tcBorders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10513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出厂水</w:t>
            </w:r>
            <w:r/>
          </w:p>
        </w:tc>
        <w:tc>
          <w:tcPr>
            <w:gridSpan w:val="10"/>
            <w:shd w:val="clear" w:fill="auto"/>
            <w:tcBorders>
              <w:left w:val="double" w:color="000000" w:sz="4" w:space="0"/>
            </w:tcBorders>
            <w:tcW w:w="9303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管网水</w:t>
            </w:r>
            <w:r/>
          </w:p>
        </w:tc>
      </w:tr>
      <w:tr>
        <w:trPr>
          <w:trHeight w:val="249"/>
          <w:tblHeader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项目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浑浊度(NTU)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游离氯(mg/L)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肉眼可见物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pH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色度(铂钴色度单位)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菌落总数(CFU/mL)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总大肠菌群(CFU/100mL)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2-甲基异莰醇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（mg/L）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三卤甲烷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臭和味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double" w:color="000000" w:sz="4" w:space="0"/>
            </w:tcBorders>
            <w:tcW w:w="8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评价</w:t>
            </w:r>
            <w:r/>
          </w:p>
        </w:tc>
        <w:tc>
          <w:tcPr>
            <w:shd w:val="clear" w:fill="auto"/>
            <w:tcBorders>
              <w:left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项目</w:t>
            </w:r>
            <w:r/>
          </w:p>
        </w:tc>
        <w:tc>
          <w:tcPr>
            <w:shd w:val="clear" w:fill="auto"/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浑浊度(NTU)</w:t>
            </w:r>
            <w:r/>
          </w:p>
        </w:tc>
        <w:tc>
          <w:tcPr>
            <w:shd w:val="clear" w:fill="auto"/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游离氯(mg/L)</w:t>
            </w:r>
            <w:r/>
          </w:p>
        </w:tc>
        <w:tc>
          <w:tcPr>
            <w:shd w:val="clear" w:fill="auto"/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肉眼可见物</w:t>
            </w:r>
            <w:r/>
          </w:p>
        </w:tc>
        <w:tc>
          <w:tcPr>
            <w:shd w:val="clear" w:fill="auto"/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色度(铂钴色度单位)</w:t>
            </w:r>
            <w:r/>
          </w:p>
        </w:tc>
        <w:tc>
          <w:tcPr>
            <w:shd w:val="clear" w:fill="auto"/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菌落总数(CFU/mL)</w:t>
            </w:r>
            <w:r/>
          </w:p>
        </w:tc>
        <w:tc>
          <w:tcPr>
            <w:shd w:val="clear" w:fill="auto"/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总大肠菌群(CFU/100mL)</w:t>
            </w:r>
            <w:r/>
          </w:p>
        </w:tc>
        <w:tc>
          <w:tcPr>
            <w:shd w:val="clear" w:fill="auto"/>
            <w:tcBorders>
              <w:top w:val="single" w:sz="4" w:space="0" w:color="auto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臭和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味</w:t>
            </w:r>
            <w:r/>
          </w:p>
        </w:tc>
        <w:tc>
          <w:tcPr>
            <w:shd w:val="clear" w:fill="auto"/>
            <w:tcBorders>
              <w:top w:val="single" w:sz="4" w:space="0" w:color="auto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pH</w:t>
            </w:r>
            <w:r/>
          </w:p>
        </w:tc>
        <w:tc>
          <w:tcPr>
            <w:shd w:val="clear" w:fill="auto"/>
            <w:tcBorders>
              <w:top w:val="single" w:sz="4" w:space="0" w:color="auto"/>
            </w:tcBorders>
            <w:tcW w:w="768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评价</w:t>
            </w:r>
            <w:r/>
          </w:p>
        </w:tc>
      </w:tr>
      <w:tr>
        <w:trPr>
          <w:trHeight w:val="870"/>
          <w:tblHeader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bottom w:val="doub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  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auto" w:line="240" w:after="0" w:afterAutospacing="0" w:before="0" w:beforeAutospacing="0"/>
              <w:snapToGrid w:val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auto" w:line="240" w:after="0" w:afterAutospacing="0" w:before="0" w:beforeAutospacing="0"/>
              <w:snapToGrid w:val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水厂名称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标准限值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≤0.5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</w:t>
            </w:r>
            <w:r>
              <w:rPr>
                <w:rStyle w:val="bs1028"/>
                <w:rFonts w:ascii="宋体" w:hAnsi="Calibri" w:cs="Calibri" w:eastAsia="宋体" w:hint="eastAsia"/>
                <w:lang w:val="en-US" w:bidi="ar" w:eastAsia="zh-CN"/>
              </w:rPr>
              <w:t xml:space="preserve">－2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6.5-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8.5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≤10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</w:t>
            </w:r>
            <w:r>
              <w:rPr>
                <w:rStyle w:val="bs1028"/>
                <w:rFonts w:ascii="宋体" w:hAnsi="Calibri" w:cs="Calibri" w:eastAsia="宋体" w:hint="eastAsia"/>
                <w:lang w:val="en-US" w:bidi="ar" w:eastAsia="zh-CN"/>
              </w:rPr>
              <w:t xml:space="preserve">50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不得检出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≤0.00001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各种化合物实测浓度与各自限值比值之和不超过1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无异臭、异味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     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auto" w:line="240" w:after="0" w:afterAutospacing="0" w:before="0" w:beforeAutospacing="0"/>
              <w:snapToGrid w:val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取样点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标准限值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≤0.5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0.05-2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</w:t>
            </w:r>
            <w:r>
              <w:rPr>
                <w:rStyle w:val="bs1028"/>
                <w:rFonts w:ascii="宋体" w:hAnsi="Calibri" w:cs="Calibri" w:eastAsia="宋体" w:hint="eastAsia"/>
                <w:lang w:val="en-US" w:bidi="ar" w:eastAsia="zh-CN"/>
              </w:rPr>
              <w:t xml:space="preserve">10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</w:t>
            </w:r>
            <w:r>
              <w:rPr>
                <w:rStyle w:val="bs1028"/>
                <w:rFonts w:ascii="宋体" w:hAnsi="Calibri" w:cs="Calibri" w:eastAsia="宋体" w:hint="eastAsia"/>
                <w:lang w:val="en-US" w:bidi="ar" w:eastAsia="zh-CN"/>
              </w:rPr>
              <w:t xml:space="preserve">50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不得检出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无异臭、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异味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6.5-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8.5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768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深圳市水务</w:t>
            </w: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br/>
            </w: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（集团）有</w:t>
            </w: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br/>
            </w: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沙头角水厂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7.08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①加油站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盐田港水厂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①9号小区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34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东湖水厂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0.90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①外贸宿舍泵站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梅林水厂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7.41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61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①下梅林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①凤塘泵站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笔架山水厂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7.42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①福滨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65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南山水厂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①花卉市场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85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大涌水厂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①松坪山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3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①前海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0.76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693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8</w:t>
            </w:r>
            <w:r/>
          </w:p>
        </w:tc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深圳市莲塘供水服务有限公司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莲塘水厂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②鹏兴花园二期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5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9</w:t>
            </w:r>
            <w:r/>
          </w:p>
        </w:tc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深圳市深水宝安水务集团有限公司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新安水厂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0.11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①湖景居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10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朱坳水厂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7.45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0.14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①南城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6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11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凤凰水厂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7.49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①凤塘大道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93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12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立新水厂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②万里路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8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13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长流陂水厂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7.85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0.13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①东环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17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14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五指耙水厂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①朝阳社区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1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15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罗田水厂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7.53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①燕罗路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08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16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石岩湖水厂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③羊台山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3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  <w:t xml:space="preserve">17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深圳市深水龙华水务有限公司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观澜茜坑水厂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7.44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②深德技工学校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6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  <w:t xml:space="preserve">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龙华茜坑水厂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7.45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①港之龙科技园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12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红木山水厂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0.23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①书香门第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4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  <w:t xml:space="preserve">20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深圳市布吉供水有限公司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沙湾一水厂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  <w:tr>
        <w:trPr>
          <w:trHeight w:val="14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  <w:t xml:space="preserve">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沙湾二水厂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7.60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①三联储运学校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坂雪岗水厂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7.59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0.37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①华为园区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深圳市龙岗坪地供水有限公司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坪地水厂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②年丰和美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8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深圳市深水龙岗水务集团有限公司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苗坑水厂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0.90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②东林一路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鹅公岭水厂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6.90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①良白路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  <w:t xml:space="preserve">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南坑水厂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①228工业区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15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荷坳水厂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0.62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7.72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③荷坳村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中心城水厂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0.22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③龙福一村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猫仔岭水厂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獭湖水厂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7.57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①龙东村委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8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深圳市深水光明水务有限公司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甲子塘水厂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③根竹园花园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63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  <w:t xml:space="preserve">32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光明水厂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7.79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②蓝鲸世界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2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  <w:t xml:space="preserve">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上村水厂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8.14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②下村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5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  <w:t xml:space="preserve">34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深圳市坪山自来水有限公司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塘岭水厂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0.98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  <w:tr>
        <w:trPr>
          <w:trHeight w:val="355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三洲田水厂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  <w:tr>
        <w:trPr>
          <w:trHeight w:val="227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  <w:t xml:space="preserve">36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田心水厂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6.79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①石井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0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  <w:t xml:space="preserve">37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沙湖水厂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7.07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①赤坳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0.32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87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38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深圳市坑梓自来水有限公司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坑梓水厂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①第一市场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83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  <w:t xml:space="preserve">39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深圳市大工业区水务有限公司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大工业区水厂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*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6.68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②茜坑华朗学校水质监测点*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753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中广核环保产业有限公司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大亚湾核电水厂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7.09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①南区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0.27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52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深圳市大鹏新区环水水务有限公司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庙角岭水厂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0.23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①水务所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8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鹏城水厂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7.66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①建设路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1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南澳水厂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0.27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②南澳中心小学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9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  <w:tblCellMar>
            <w:left w:w="108" w:type="dxa"/>
            <w:top w:w="0" w:type="dxa"/>
            <w:right w:w="108" w:type="dxa"/>
            <w:bottom w:w="0" w:type="dxa"/>
          </w:tblCellMar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坝光水厂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</w:tbl>
    <w:p>
      <w:pPr>
        <w:spacing w:lineRule="exact" w:line="240"/>
        <w:rPr>
          <w:rFonts w:hint="eastAsia"/>
          <w:sz w:val="18"/>
          <w:szCs w:val="18"/>
        </w:rPr>
        <w:outlineLvl w:val="0"/>
      </w:pPr>
      <w:r>
        <w:rPr>
          <w:rFonts w:hint="eastAsia"/>
          <w:sz w:val="18"/>
          <w:szCs w:val="18"/>
        </w:rPr>
      </w:r>
      <w:r/>
    </w:p>
    <w:p>
      <w:pPr>
        <w:spacing w:lineRule="exact" w:line="240"/>
        <w:rPr>
          <w:sz w:val="18"/>
          <w:szCs w:val="18"/>
        </w:rPr>
        <w:outlineLvl w:val="0"/>
      </w:pPr>
      <w:r>
        <w:rPr>
          <w:rFonts w:hint="eastAsia"/>
          <w:sz w:val="18"/>
          <w:szCs w:val="18"/>
        </w:rPr>
        <w:t xml:space="preserve">备注：1</w:t>
      </w:r>
      <w:r>
        <w:rPr>
          <w:rFonts w:hint="eastAsia"/>
          <w:sz w:val="18"/>
          <w:szCs w:val="18"/>
          <w:lang w:val="en-US" w:eastAsia="zh-CN"/>
        </w:rPr>
        <w:t xml:space="preserve">.采</w:t>
      </w:r>
      <w:r>
        <w:rPr>
          <w:rFonts w:hint="eastAsia"/>
          <w:sz w:val="18"/>
          <w:szCs w:val="18"/>
        </w:rPr>
        <w:t xml:space="preserve">样</w:t>
      </w:r>
      <w:r>
        <w:rPr>
          <w:rFonts w:hint="eastAsia"/>
          <w:sz w:val="18"/>
          <w:szCs w:val="18"/>
          <w:lang w:val="en-US" w:eastAsia="zh-CN"/>
        </w:rPr>
        <w:t xml:space="preserve">和</w:t>
      </w:r>
      <w:r>
        <w:rPr>
          <w:rFonts w:hint="eastAsia"/>
          <w:sz w:val="18"/>
          <w:szCs w:val="18"/>
        </w:rPr>
        <w:t xml:space="preserve">检测时间为20</w:t>
      </w:r>
      <w:r>
        <w:rPr>
          <w:rFonts w:hint="eastAsia"/>
          <w:sz w:val="18"/>
          <w:szCs w:val="18"/>
          <w:lang w:val="en-US" w:eastAsia="zh-CN"/>
        </w:rPr>
        <w:t xml:space="preserve">26</w:t>
      </w:r>
      <w:r>
        <w:rPr>
          <w:rFonts w:hint="eastAsia"/>
          <w:sz w:val="18"/>
          <w:szCs w:val="18"/>
        </w:rPr>
        <w:t xml:space="preserve">年</w:t>
      </w:r>
      <w:r>
        <w:rPr>
          <w:rFonts w:hint="eastAsia"/>
          <w:sz w:val="18"/>
          <w:szCs w:val="18"/>
          <w:lang w:val="en-US" w:eastAsia="zh-CN"/>
        </w:rPr>
        <w:t xml:space="preserve">06</w:t>
      </w:r>
      <w:r>
        <w:rPr>
          <w:rFonts w:hint="eastAsia"/>
          <w:sz w:val="18"/>
          <w:szCs w:val="18"/>
        </w:rPr>
        <w:t xml:space="preserve">月。    </w:t>
      </w:r>
      <w:r/>
    </w:p>
    <w:p>
      <w:pPr>
        <w:ind w:firstLine="540" w:firstLineChars="300"/>
        <w:spacing w:lineRule="exact" w:line="24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2</w:t>
      </w:r>
      <w:r>
        <w:rPr>
          <w:rFonts w:hint="eastAsia"/>
          <w:sz w:val="18"/>
          <w:szCs w:val="18"/>
          <w:lang w:val="en-US" w:eastAsia="zh-CN"/>
        </w:rPr>
        <w:t xml:space="preserve">.</w:t>
      </w:r>
      <w:r>
        <w:rPr>
          <w:rFonts w:hint="eastAsia"/>
          <w:sz w:val="18"/>
          <w:szCs w:val="18"/>
        </w:rPr>
        <w:t xml:space="preserve">出厂水和管网水执行DB4403/T 60-2020《生活饮用水水质标准》。</w:t>
      </w:r>
      <w:r/>
    </w:p>
    <w:p>
      <w:pPr>
        <w:ind w:firstLine="540" w:firstLineChars="300"/>
        <w:spacing w:lineRule="exact" w:line="24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3</w:t>
      </w:r>
      <w:r>
        <w:rPr>
          <w:rFonts w:hint="eastAsia"/>
          <w:sz w:val="18"/>
          <w:szCs w:val="18"/>
          <w:lang w:val="en-US" w:eastAsia="zh-CN"/>
        </w:rPr>
        <w:t xml:space="preserve">.</w:t>
      </w:r>
      <w:r>
        <w:rPr>
          <w:rFonts w:hint="eastAsia"/>
          <w:sz w:val="18"/>
          <w:szCs w:val="18"/>
        </w:rPr>
        <w:t xml:space="preserve">有</w:t>
      </w:r>
      <w:r>
        <w:rPr>
          <w:rFonts w:ascii="宋体" w:hAnsi="宋体" w:hint="eastAsia"/>
          <w:sz w:val="18"/>
          <w:szCs w:val="18"/>
        </w:rPr>
        <w:t xml:space="preserve">*</w:t>
      </w:r>
      <w:r>
        <w:rPr>
          <w:rFonts w:hint="eastAsia"/>
          <w:sz w:val="18"/>
          <w:szCs w:val="18"/>
        </w:rPr>
        <w:t xml:space="preserve">的表示水厂消毒方式二氧化氯消毒，表中显示数据为二氧化氯检测结果，DB4403/T 60-2020规定出厂水中二氧化氯为</w:t>
      </w:r>
      <w:r>
        <w:rPr>
          <w:sz w:val="18"/>
          <w:szCs w:val="18"/>
        </w:rPr>
        <w:t xml:space="preserve">0.1</w:t>
      </w:r>
      <w:r>
        <w:rPr>
          <w:rFonts w:hint="eastAsia"/>
          <w:sz w:val="18"/>
          <w:szCs w:val="18"/>
        </w:rPr>
        <w:t xml:space="preserve">mg/L</w:t>
      </w:r>
      <w:r>
        <w:rPr>
          <w:rFonts w:ascii="宋体" w:hAnsi="宋体" w:cs="宋体" w:hint="eastAsia"/>
          <w:sz w:val="18"/>
          <w:szCs w:val="18"/>
        </w:rPr>
        <w:t xml:space="preserve">－</w:t>
      </w:r>
      <w:r>
        <w:rPr>
          <w:rFonts w:hint="eastAsia"/>
          <w:sz w:val="18"/>
          <w:szCs w:val="18"/>
        </w:rPr>
        <w:t xml:space="preserve">0.8mg/L</w:t>
      </w:r>
      <w:r>
        <w:rPr>
          <w:rFonts w:ascii="宋体" w:hAnsi="宋体" w:hint="eastAsia"/>
          <w:sz w:val="18"/>
          <w:szCs w:val="18"/>
        </w:rPr>
        <w:t xml:space="preserve">，管网末</w:t>
      </w:r>
      <w:r>
        <w:rPr>
          <w:rFonts w:ascii="宋体" w:hAnsi="宋体" w:hint="eastAsia"/>
          <w:sz w:val="18"/>
          <w:szCs w:val="18"/>
          <w:lang w:eastAsia="zh-CN"/>
        </w:rPr>
        <w:t xml:space="preserve">梢</w:t>
      </w:r>
      <w:r>
        <w:rPr>
          <w:rFonts w:ascii="宋体" w:hAnsi="宋体" w:hint="eastAsia"/>
          <w:sz w:val="18"/>
          <w:szCs w:val="18"/>
        </w:rPr>
        <w:t xml:space="preserve">水中</w:t>
      </w:r>
      <w:r>
        <w:rPr>
          <w:rFonts w:hint="eastAsia"/>
          <w:sz w:val="18"/>
          <w:szCs w:val="18"/>
        </w:rPr>
        <w:t xml:space="preserve">二氧化氯</w:t>
      </w:r>
      <w:r>
        <w:rPr>
          <w:rFonts w:ascii="宋体" w:hAnsi="宋体" w:hint="eastAsia"/>
          <w:sz w:val="18"/>
          <w:szCs w:val="18"/>
        </w:rPr>
        <w:t xml:space="preserve">为</w:t>
      </w:r>
      <w:r>
        <w:rPr>
          <w:sz w:val="18"/>
          <w:szCs w:val="18"/>
        </w:rPr>
        <w:t xml:space="preserve">0.02</w:t>
      </w:r>
      <w:r>
        <w:rPr>
          <w:rFonts w:hint="eastAsia"/>
          <w:sz w:val="18"/>
          <w:szCs w:val="18"/>
        </w:rPr>
        <w:t xml:space="preserve">mg/L</w:t>
      </w:r>
      <w:r>
        <w:rPr>
          <w:rFonts w:ascii="宋体" w:hAnsi="宋体" w:cs="宋体" w:hint="eastAsia"/>
          <w:sz w:val="18"/>
          <w:szCs w:val="18"/>
        </w:rPr>
        <w:t xml:space="preserve">－</w:t>
      </w:r>
      <w:r>
        <w:rPr>
          <w:rFonts w:hint="eastAsia"/>
          <w:sz w:val="18"/>
          <w:szCs w:val="18"/>
        </w:rPr>
        <w:t xml:space="preserve">0.8mg/L。</w:t>
      </w:r>
      <w:r/>
    </w:p>
    <w:p>
      <w:pPr>
        <w:ind w:firstLine="540" w:firstLineChars="300"/>
        <w:spacing w:lineRule="exact" w:line="24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4</w:t>
      </w:r>
      <w:r>
        <w:rPr>
          <w:rFonts w:hint="eastAsia"/>
          <w:sz w:val="18"/>
          <w:szCs w:val="18"/>
          <w:lang w:val="en-US" w:eastAsia="zh-CN"/>
        </w:rPr>
        <w:t xml:space="preserve">.</w:t>
      </w:r>
      <w:r>
        <w:rPr>
          <w:rFonts w:hint="eastAsia"/>
          <w:sz w:val="18"/>
          <w:szCs w:val="18"/>
        </w:rPr>
        <w:t xml:space="preserve">有</w:t>
      </w:r>
      <w:r>
        <w:rPr>
          <w:rFonts w:ascii="宋体" w:hAnsi="宋体" w:cs="宋体" w:hint="eastAsia"/>
          <w:sz w:val="18"/>
          <w:kern w:val="0"/>
          <w:szCs w:val="18"/>
        </w:rPr>
        <w:t xml:space="preserve">①的表示该管网水为市政管网水，有②的表示该管网水为用户龙头水端，有③的表示该管网水为二次供水进水。</w:t>
      </w:r>
      <w:r/>
    </w:p>
    <w:p>
      <w:pPr>
        <w:ind w:firstLine="540" w:firstLineChars="300"/>
        <w:spacing w:lineRule="exact" w:line="24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 xml:space="preserve">5</w:t>
      </w:r>
      <w:r>
        <w:rPr>
          <w:rFonts w:hint="eastAsia"/>
          <w:sz w:val="18"/>
          <w:szCs w:val="18"/>
          <w:lang w:val="en-US" w:eastAsia="zh-CN"/>
        </w:rPr>
        <w:t xml:space="preserve">.</w:t>
      </w:r>
      <w:r>
        <w:rPr>
          <w:rFonts w:hint="eastAsia"/>
          <w:sz w:val="18"/>
          <w:szCs w:val="18"/>
        </w:rPr>
        <w:t xml:space="preserve">有—的表示该水厂暂停供水。</w:t>
      </w:r>
      <w:r/>
    </w:p>
    <w:sectPr>
      <w:headerReference w:type="default" r:id="rId7"/>
      <w:footerReference w:type="default" r:id="rId8"/>
      <w:footerReference w:type="even" r:id="rId9"/>
      <w:footnotePr/>
      <w:type w:val="nextPage"/>
      <w:pgSz w:w="23820" w:h="16840" w:orient="landscape"/>
      <w:pgMar w:top="820" w:right="309" w:bottom="680" w:left="514" w:header="851" w:footer="992" w:gutter="0"/>
      <w:pgNumType w:fmt="decimal"/>
      <w:cols w:num="1" w:sep="0" w:space="720" w:equalWidth="1"/>
      <w:docGrid w:charSpace="0" w:linePitch="381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Verdana">
    <w:panose1 w:val="020B0604030504040204"/>
  </w:font>
  <w:font w:name="黑体">
    <w:panose1 w:val="02010609060101010101"/>
  </w:font>
  <w:font w:name="方正小标宋_GBK">
    <w:panose1 w:val="03000509000000000000"/>
  </w:font>
  <w:font w:name="宋体">
    <w:panose1 w:val="02010600030101010101"/>
  </w:font>
  <w:font w:name="Times New Roman">
    <w:panose1 w:val="02020603050405020304"/>
  </w:font>
  <w:font w:name="仿宋_GB2312">
    <w:panose1 w:val="02010609030101010101"/>
  </w:font>
  <w:font w:name="楷体_GB2312">
    <w:panose1 w:val="02010609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10"/>
      <w:spacing/>
      <w:rPr>
        <w:rStyle w:val="bs1018"/>
      </w:rPr>
      <w:framePr w:wrap="around" w:vAnchor="text" w:hAnchor="margin" w:xAlign="right" w:y="1"/>
    </w:pPr>
    <w:r>
      <w:fldChar w:fldCharType="begin"/>
    </w:r>
    <w:r>
      <w:rPr>
        <w:rStyle w:val="bs1018"/>
      </w:rPr>
      <w:instrText xml:space="preserve">PAGE  </w:instrText>
    </w:r>
    <w:r>
      <w:fldChar w:fldCharType="separate"/>
    </w:r>
    <w:r>
      <w:rPr>
        <w:rStyle w:val="bs1018"/>
      </w:rPr>
      <w:t xml:space="preserve">2</w:t>
    </w:r>
    <w:r>
      <w:fldChar w:fldCharType="end"/>
    </w:r>
    <w:r/>
  </w:p>
  <w:p>
    <w:pPr>
      <w:pStyle w:val="bs1010"/>
      <w:ind w:right="360"/>
      <w:spacing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10"/>
      <w:spacing/>
      <w:rPr>
        <w:rStyle w:val="bs1018"/>
      </w:rPr>
      <w:framePr w:wrap="around" w:vAnchor="text" w:hAnchor="margin" w:xAlign="right" w:y="1"/>
    </w:pPr>
    <w:r>
      <w:fldChar w:fldCharType="begin"/>
    </w:r>
    <w:r>
      <w:rPr>
        <w:rStyle w:val="bs1018"/>
      </w:rPr>
      <w:instrText xml:space="preserve">PAGE  </w:instrText>
    </w:r>
    <w:r>
      <w:fldChar w:fldCharType="end"/>
    </w:r>
    <w:r/>
  </w:p>
  <w:p>
    <w:pPr>
      <w:pStyle w:val="bs1010"/>
      <w:ind w:right="360"/>
      <w:spacing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12"/>
      <w:spacing/>
      <w:pBdr>
        <w:bottom w:val="none" w:sz="0" w:space="0" w:color="auto"/>
      </w:pBdr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4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revisionView/>
  <w:footnotePr>
    <w:footnote w:id="-1"/>
    <w:footnote w:id="0"/>
    <w:numFmt w:val="decimal"/>
    <w:numRestart w:val="continuous"/>
    <w:numStart w:val="1"/>
    <w:pos w:val="pageBottom"/>
  </w:footnotePr>
  <w:noPunctuationKerning/>
  <w:characterSpacingControl w:val="compressPunctuation"/>
  <w:compat>
    <w:spaceForUL w:val="true"/>
    <w:balanceSingleByteDoubleByteWidth w:val="true"/>
    <w:ulTrailSpace w:val="true"/>
    <w:doNotExpandShiftReturn w:val="true"/>
    <w:adjustLineHeightInTable w:val="true"/>
    <w:useAltKinsokuLineBreakRules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nforcement="false"/>
  <w:zoom w:percent="100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宋体" w:hint="default"/>
        <w:color w:val="auto"/>
        <w:spacing w:val="0"/>
        <w:position w:val="0"/>
        <w:sz w:val="21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FFFFFF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style1003" w:default="1">
    <w:name w:val="No List"/>
    <w:uiPriority w:val="99"/>
    <w:semiHidden/>
    <w:unhideWhenUsed/>
  </w:style>
  <w:style w:type="paragraph" w:styleId="style1004">
    <w:name w:val="Heading 1"/>
    <w:basedOn w:val="bs1002"/>
    <w:next w:val="bs1002"/>
    <w:link w:val="style1005"/>
    <w:qFormat/>
    <w:uiPriority w:val="9"/>
    <w:rPr>
      <w:rFonts w:ascii="Arial" w:hAnsi="Arial" w:cs="Arial" w:eastAsia="Arial"/>
      <w:sz w:val="40"/>
      <w:szCs w:val="40"/>
    </w:rPr>
    <w:pPr>
      <w:autoSpaceDN w:val="false"/>
      <w:autoSpaceDE w:val="false"/>
      <w:overflowPunct w:val="false"/>
      <w:keepLines/>
      <w:keepNext/>
      <w:spacing w:after="200" w:before="480"/>
      <w:outlineLvl w:val="0"/>
    </w:pPr>
  </w:style>
  <w:style w:type="character" w:styleId="style1005">
    <w:name w:val="Heading 1 Char"/>
    <w:basedOn w:val="bs1004"/>
    <w:link w:val="style1004"/>
    <w:uiPriority w:val="9"/>
    <w:rPr>
      <w:rFonts w:ascii="Arial" w:hAnsi="Arial" w:cs="Arial" w:eastAsia="Arial"/>
      <w:sz w:val="40"/>
      <w:szCs w:val="40"/>
    </w:rPr>
  </w:style>
  <w:style w:type="paragraph" w:styleId="style1006">
    <w:name w:val="Heading 2"/>
    <w:basedOn w:val="bs1002"/>
    <w:next w:val="bs1002"/>
    <w:link w:val="style1007"/>
    <w:qFormat/>
    <w:uiPriority w:val="9"/>
    <w:unhideWhenUsed/>
    <w:rPr>
      <w:rFonts w:ascii="Arial" w:hAnsi="Arial" w:cs="Arial" w:eastAsia="Arial"/>
      <w:sz w:val="34"/>
    </w:rPr>
    <w:pPr>
      <w:autoSpaceDN w:val="false"/>
      <w:autoSpaceDE w:val="false"/>
      <w:overflowPunct w:val="false"/>
      <w:keepLines/>
      <w:keepNext/>
      <w:spacing w:after="200" w:before="360"/>
      <w:outlineLvl w:val="1"/>
    </w:pPr>
  </w:style>
  <w:style w:type="character" w:styleId="style1007">
    <w:name w:val="Heading 2 Char"/>
    <w:basedOn w:val="bs1004"/>
    <w:link w:val="style1006"/>
    <w:uiPriority w:val="9"/>
    <w:rPr>
      <w:rFonts w:ascii="Arial" w:hAnsi="Arial" w:cs="Arial" w:eastAsia="Arial"/>
      <w:sz w:val="34"/>
    </w:rPr>
  </w:style>
  <w:style w:type="paragraph" w:styleId="style1008">
    <w:name w:val="Heading 3"/>
    <w:basedOn w:val="bs1002"/>
    <w:next w:val="bs1002"/>
    <w:link w:val="style1009"/>
    <w:qFormat/>
    <w:uiPriority w:val="9"/>
    <w:unhideWhenUsed/>
    <w:rPr>
      <w:rFonts w:ascii="Arial" w:hAnsi="Arial" w:cs="Arial" w:eastAsia="Arial"/>
      <w:sz w:val="30"/>
      <w:szCs w:val="30"/>
    </w:rPr>
    <w:pPr>
      <w:autoSpaceDN w:val="false"/>
      <w:autoSpaceDE w:val="false"/>
      <w:overflowPunct w:val="false"/>
      <w:keepLines/>
      <w:keepNext/>
      <w:spacing w:after="200" w:before="320"/>
      <w:outlineLvl w:val="2"/>
    </w:pPr>
  </w:style>
  <w:style w:type="character" w:styleId="style1009">
    <w:name w:val="Heading 3 Char"/>
    <w:basedOn w:val="bs1004"/>
    <w:link w:val="style1008"/>
    <w:uiPriority w:val="9"/>
    <w:rPr>
      <w:rFonts w:ascii="Arial" w:hAnsi="Arial" w:cs="Arial" w:eastAsia="Arial"/>
      <w:sz w:val="30"/>
      <w:szCs w:val="30"/>
    </w:rPr>
  </w:style>
  <w:style w:type="paragraph" w:styleId="style1010">
    <w:name w:val="Heading 4"/>
    <w:basedOn w:val="bs1002"/>
    <w:next w:val="bs1002"/>
    <w:link w:val="style101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autoSpaceDN w:val="false"/>
      <w:autoSpaceDE w:val="false"/>
      <w:overflowPunct w:val="false"/>
      <w:keepLines/>
      <w:keepNext/>
      <w:spacing w:after="200" w:before="320"/>
      <w:outlineLvl w:val="3"/>
    </w:pPr>
  </w:style>
  <w:style w:type="character" w:styleId="style1011">
    <w:name w:val="Heading 4 Char"/>
    <w:basedOn w:val="bs1004"/>
    <w:link w:val="style1010"/>
    <w:uiPriority w:val="9"/>
    <w:rPr>
      <w:rFonts w:ascii="Arial" w:hAnsi="Arial" w:cs="Arial" w:eastAsia="Arial"/>
      <w:b/>
      <w:bCs/>
      <w:sz w:val="26"/>
      <w:szCs w:val="26"/>
    </w:rPr>
  </w:style>
  <w:style w:type="paragraph" w:styleId="style1012">
    <w:name w:val="Heading 5"/>
    <w:basedOn w:val="bs1002"/>
    <w:next w:val="bs1002"/>
    <w:link w:val="style101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autoSpaceDN w:val="false"/>
      <w:autoSpaceDE w:val="false"/>
      <w:overflowPunct w:val="false"/>
      <w:keepLines/>
      <w:keepNext/>
      <w:spacing w:after="200" w:before="320"/>
      <w:outlineLvl w:val="4"/>
    </w:pPr>
  </w:style>
  <w:style w:type="character" w:styleId="style1013">
    <w:name w:val="Heading 5 Char"/>
    <w:basedOn w:val="bs1004"/>
    <w:link w:val="style1012"/>
    <w:uiPriority w:val="9"/>
    <w:rPr>
      <w:rFonts w:ascii="Arial" w:hAnsi="Arial" w:cs="Arial" w:eastAsia="Arial"/>
      <w:b/>
      <w:bCs/>
      <w:sz w:val="24"/>
      <w:szCs w:val="24"/>
    </w:rPr>
  </w:style>
  <w:style w:type="paragraph" w:styleId="style1014">
    <w:name w:val="Heading 6"/>
    <w:basedOn w:val="bs1002"/>
    <w:next w:val="bs1002"/>
    <w:link w:val="style101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5"/>
    </w:pPr>
  </w:style>
  <w:style w:type="character" w:styleId="style1015">
    <w:name w:val="Heading 6 Char"/>
    <w:basedOn w:val="bs1004"/>
    <w:link w:val="style1014"/>
    <w:uiPriority w:val="9"/>
    <w:rPr>
      <w:rFonts w:ascii="Arial" w:hAnsi="Arial" w:cs="Arial" w:eastAsia="Arial"/>
      <w:b/>
      <w:bCs/>
      <w:sz w:val="22"/>
      <w:szCs w:val="22"/>
    </w:rPr>
  </w:style>
  <w:style w:type="paragraph" w:styleId="style1016">
    <w:name w:val="Heading 7"/>
    <w:basedOn w:val="bs1002"/>
    <w:next w:val="bs1002"/>
    <w:link w:val="style101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6"/>
    </w:pPr>
  </w:style>
  <w:style w:type="character" w:styleId="style1017">
    <w:name w:val="Heading 7 Char"/>
    <w:basedOn w:val="bs1004"/>
    <w:link w:val="style10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style1018">
    <w:name w:val="Heading 8"/>
    <w:basedOn w:val="bs1002"/>
    <w:next w:val="bs1002"/>
    <w:link w:val="style101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7"/>
    </w:pPr>
  </w:style>
  <w:style w:type="character" w:styleId="style1019">
    <w:name w:val="Heading 8 Char"/>
    <w:basedOn w:val="bs1004"/>
    <w:link w:val="style1018"/>
    <w:uiPriority w:val="9"/>
    <w:rPr>
      <w:rFonts w:ascii="Arial" w:hAnsi="Arial" w:cs="Arial" w:eastAsia="Arial"/>
      <w:i/>
      <w:iCs/>
      <w:sz w:val="22"/>
      <w:szCs w:val="22"/>
    </w:rPr>
  </w:style>
  <w:style w:type="paragraph" w:styleId="style1020">
    <w:name w:val="Heading 9"/>
    <w:basedOn w:val="bs1002"/>
    <w:next w:val="bs1002"/>
    <w:link w:val="style102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autoSpaceDN w:val="false"/>
      <w:autoSpaceDE w:val="false"/>
      <w:overflowPunct w:val="false"/>
      <w:keepLines/>
      <w:keepNext/>
      <w:spacing w:after="200" w:before="320"/>
      <w:outlineLvl w:val="8"/>
    </w:pPr>
  </w:style>
  <w:style w:type="character" w:styleId="style1021">
    <w:name w:val="Heading 9 Char"/>
    <w:basedOn w:val="bs1004"/>
    <w:link w:val="style1020"/>
    <w:uiPriority w:val="9"/>
    <w:rPr>
      <w:rFonts w:ascii="Arial" w:hAnsi="Arial" w:cs="Arial" w:eastAsia="Arial"/>
      <w:i/>
      <w:iCs/>
      <w:sz w:val="21"/>
      <w:szCs w:val="21"/>
    </w:rPr>
  </w:style>
  <w:style w:type="paragraph" w:styleId="style1024">
    <w:name w:val="No Spacing"/>
    <w:qFormat/>
    <w:uiPriority w:val="1"/>
    <w:pPr>
      <w:autoSpaceDN w:val="false"/>
      <w:autoSpaceDE w:val="false"/>
      <w:overflowPunct w:val="false"/>
      <w:spacing w:lineRule="auto" w:line="240" w:after="0" w:before="0"/>
    </w:pPr>
  </w:style>
  <w:style w:type="paragraph" w:styleId="style1025">
    <w:name w:val="Title"/>
    <w:basedOn w:val="bs1002"/>
    <w:next w:val="bs1002"/>
    <w:link w:val="style1026"/>
    <w:qFormat/>
    <w:uiPriority w:val="10"/>
    <w:rPr>
      <w:sz w:val="48"/>
      <w:szCs w:val="48"/>
    </w:rPr>
    <w:pPr>
      <w:contextualSpacing w:val="true"/>
      <w:autoSpaceDN w:val="false"/>
      <w:autoSpaceDE w:val="false"/>
      <w:overflowPunct w:val="false"/>
      <w:spacing w:after="200" w:before="300"/>
    </w:pPr>
  </w:style>
  <w:style w:type="character" w:styleId="style1026">
    <w:name w:val="Title Char"/>
    <w:basedOn w:val="bs1004"/>
    <w:link w:val="style1025"/>
    <w:uiPriority w:val="10"/>
    <w:rPr>
      <w:sz w:val="48"/>
      <w:szCs w:val="48"/>
    </w:rPr>
  </w:style>
  <w:style w:type="paragraph" w:styleId="style1027">
    <w:name w:val="Subtitle"/>
    <w:basedOn w:val="bs1002"/>
    <w:next w:val="bs1002"/>
    <w:link w:val="style1028"/>
    <w:qFormat/>
    <w:uiPriority w:val="11"/>
    <w:rPr>
      <w:sz w:val="24"/>
      <w:szCs w:val="24"/>
    </w:rPr>
    <w:pPr>
      <w:autoSpaceDN w:val="false"/>
      <w:autoSpaceDE w:val="false"/>
      <w:overflowPunct w:val="false"/>
      <w:spacing w:after="200" w:before="200"/>
    </w:pPr>
  </w:style>
  <w:style w:type="character" w:styleId="style1028">
    <w:name w:val="Subtitle Char"/>
    <w:basedOn w:val="bs1004"/>
    <w:link w:val="style1027"/>
    <w:uiPriority w:val="11"/>
    <w:rPr>
      <w:sz w:val="24"/>
      <w:szCs w:val="24"/>
    </w:rPr>
  </w:style>
  <w:style w:type="paragraph" w:styleId="style1029">
    <w:name w:val="Quote"/>
    <w:basedOn w:val="bs1002"/>
    <w:next w:val="bs1002"/>
    <w:link w:val="style1030"/>
    <w:qFormat/>
    <w:uiPriority w:val="29"/>
    <w:rPr>
      <w:i/>
    </w:rPr>
    <w:pPr>
      <w:ind w:left="720" w:right="720"/>
      <w:autoSpaceDN w:val="false"/>
      <w:autoSpaceDE w:val="false"/>
      <w:overflowPunct w:val="false"/>
    </w:pPr>
  </w:style>
  <w:style w:type="character" w:styleId="style1030">
    <w:name w:val="Quote Char"/>
    <w:link w:val="style1029"/>
    <w:uiPriority w:val="29"/>
    <w:rPr>
      <w:i/>
    </w:rPr>
  </w:style>
  <w:style w:type="paragraph" w:styleId="style1031">
    <w:name w:val="Intense Quote"/>
    <w:basedOn w:val="bs1002"/>
    <w:next w:val="bs1002"/>
    <w:link w:val="style1032"/>
    <w:qFormat/>
    <w:uiPriority w:val="30"/>
    <w:rPr>
      <w:i/>
    </w:rPr>
    <w:pPr>
      <w:contextualSpacing w:val="false"/>
      <w:ind w:left="720" w:right="720"/>
      <w:autoSpaceDN w:val="false"/>
      <w:autoSpaceDE w:val="false"/>
      <w:overflowPunct w:val="false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style1032">
    <w:name w:val="Intense Quote Char"/>
    <w:link w:val="style1031"/>
    <w:uiPriority w:val="30"/>
    <w:rPr>
      <w:i/>
    </w:rPr>
    <w:pPr>
      <w:spacing/>
    </w:pPr>
  </w:style>
  <w:style w:type="character" w:styleId="style1034">
    <w:name w:val="Header Char"/>
    <w:basedOn w:val="bs1004"/>
    <w:link w:val="bs1012"/>
    <w:uiPriority w:val="99"/>
    <w:pPr>
      <w:spacing/>
    </w:pPr>
  </w:style>
  <w:style w:type="character" w:styleId="style1036">
    <w:name w:val="Footer Char"/>
    <w:basedOn w:val="bs1004"/>
    <w:link w:val="bs1010"/>
    <w:uiPriority w:val="99"/>
    <w:pPr>
      <w:spacing/>
    </w:pPr>
  </w:style>
  <w:style w:type="paragraph" w:styleId="style1037">
    <w:name w:val="Caption"/>
    <w:basedOn w:val="bs1002"/>
    <w:next w:val="bs1002"/>
    <w:qFormat/>
    <w:uiPriority w:val="35"/>
    <w:semiHidden/>
    <w:unhideWhenUsed/>
    <w:rPr>
      <w:b/>
      <w:bCs/>
      <w:color w:val="4F81BD" w:themeColor="accent1"/>
      <w:sz w:val="18"/>
      <w:szCs w:val="18"/>
    </w:rPr>
    <w:pPr>
      <w:autoSpaceDN w:val="false"/>
      <w:autoSpaceDE w:val="false"/>
      <w:overflowPunct w:val="false"/>
      <w:spacing w:lineRule="auto" w:line="276"/>
    </w:pPr>
  </w:style>
  <w:style w:type="character" w:styleId="style1038">
    <w:name w:val="Caption Char"/>
    <w:basedOn w:val="style1037"/>
    <w:link w:val="bs1010"/>
    <w:uiPriority w:val="99"/>
    <w:pPr>
      <w:spacing/>
    </w:pPr>
  </w:style>
  <w:style w:type="table" w:styleId="style1040">
    <w:name w:val="Table Grid Light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1">
    <w:name w:val="Plain Table 1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2">
    <w:name w:val="Plain Table 2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Horz">
      <w:pPr>
        <w:spacing/>
      </w:pPr>
    </w:tblStylePr>
    <w:tblStylePr w:type="band2Vert"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3">
    <w:name w:val="Plain Table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  <w:pPr>
        <w:spacing/>
      </w:pPr>
    </w:tblStylePr>
    <w:tblStylePr w:type="lastRow">
      <w:rPr>
        <w:b/>
        <w:caps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4">
    <w:name w:val="Plain Table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5">
    <w:name w:val="Plain Table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6">
    <w:name w:val="Grid Table 1 Light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7">
    <w:name w:val="Grid Table 1 Light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8">
    <w:name w:val="Grid Table 1 Light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9">
    <w:name w:val="Grid Table 1 Light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0">
    <w:name w:val="Grid Table 1 Light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1">
    <w:name w:val="Grid Table 1 Light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2">
    <w:name w:val="Grid Table 1 Light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3">
    <w:name w:val="Grid Table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4">
    <w:name w:val="Grid Table 2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5">
    <w:name w:val="Grid Table 2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6">
    <w:name w:val="Grid Table 2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7">
    <w:name w:val="Grid Table 2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8">
    <w:name w:val="Grid Table 2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9">
    <w:name w:val="Grid Table 2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0">
    <w:name w:val="Grid Table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1">
    <w:name w:val="Grid Table 3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2">
    <w:name w:val="Grid Table 3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3">
    <w:name w:val="Grid Table 3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4">
    <w:name w:val="Grid Table 3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5">
    <w:name w:val="Grid Table 3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6">
    <w:name w:val="Grid Table 3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7">
    <w:name w:val="Grid Table 4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tex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8">
    <w:name w:val="Grid Table 4 - Accent 1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1" w:themeTint="E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9">
    <w:name w:val="Grid Table 4 - Accent 2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0">
    <w:name w:val="Grid Table 4 - Accent 3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3" w:themeTint="F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1">
    <w:name w:val="Grid Table 4 - Accent 4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2">
    <w:name w:val="Grid Table 4 - Accent 5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5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3">
    <w:name w:val="Grid Table 4 - Accent 6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6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4">
    <w:name w:val="Grid Table 5 Dark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pPr>
        <w:spacing/>
      </w:pPr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5">
    <w:name w:val="Grid Table 5 Dark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pPr>
        <w:spacing/>
      </w:pPr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6">
    <w:name w:val="Grid Table 5 Dark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pPr>
        <w:spacing/>
      </w:pPr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7">
    <w:name w:val="Grid Table 5 Dark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pPr>
        <w:spacing/>
      </w:pPr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8">
    <w:name w:val="Grid Table 5 Dark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pPr>
        <w:spacing/>
      </w:pPr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9">
    <w:name w:val="Grid Table 5 Dark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pPr>
        <w:spacing/>
      </w:pPr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80">
    <w:name w:val="Grid Table 5 Dark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pPr>
        <w:spacing/>
      </w:pPr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81">
    <w:name w:val="Grid Table 6 Colorful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pPr>
        <w:spacing/>
      </w:p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4A4A4A" w:themeColor="text1" w:themeTint="80" w:themeShade="95"/>
      </w:rPr>
      <w:pPr>
        <w:spacing/>
      </w:pPr>
    </w:tblStylePr>
    <w:tblStylePr w:type="firstRow">
      <w:rPr>
        <w:b/>
        <w:color w:val="4A4A4A" w:themeColor="text1" w:themeTint="80" w:themeShade="95"/>
      </w:rPr>
      <w:pPr>
        <w:spacing/>
      </w:p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  <w:pPr>
        <w:spacing/>
      </w:pPr>
    </w:tblStylePr>
    <w:tblStylePr w:type="lastRow">
      <w:rPr>
        <w:b/>
        <w:color w:val="4A4A4A" w:themeColor="text1" w:themeTint="80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spacing/>
      </w:pPr>
    </w:tblStylePr>
  </w:style>
  <w:style w:type="table" w:styleId="style1082">
    <w:name w:val="Grid Table 6 Colorful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pPr>
        <w:spacing/>
      </w:p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3E70A3" w:themeColor="accent1" w:themeTint="80" w:themeShade="95"/>
      </w:rPr>
      <w:pPr>
        <w:spacing/>
      </w:pPr>
    </w:tblStylePr>
    <w:tblStylePr w:type="firstRow">
      <w:rPr>
        <w:b/>
        <w:color w:val="3E70A3" w:themeColor="accent1" w:themeTint="80" w:themeShade="95"/>
      </w:rPr>
      <w:pPr>
        <w:spacing/>
      </w:p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  <w:pPr>
        <w:spacing/>
      </w:pPr>
    </w:tblStylePr>
    <w:tblStylePr w:type="lastRow">
      <w:rPr>
        <w:b/>
        <w:color w:val="3E70A3" w:themeColor="accent1" w:themeTint="80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spacing/>
      </w:pPr>
    </w:tblStylePr>
  </w:style>
  <w:style w:type="table" w:styleId="style1083">
    <w:name w:val="Grid Table 6 Colorful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9C3A37" w:themeColor="accent2" w:themeTint="97" w:themeShade="95"/>
      </w:rPr>
      <w:pPr>
        <w:spacing/>
      </w:pPr>
    </w:tblStylePr>
    <w:tblStylePr w:type="firstRow">
      <w:rPr>
        <w:b/>
        <w:color w:val="9C3A37" w:themeColor="accent2" w:themeTint="97" w:themeShade="95"/>
      </w:rPr>
      <w:pPr>
        <w:spacing/>
      </w:p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  <w:pPr>
        <w:spacing/>
      </w:pPr>
    </w:tblStylePr>
    <w:tblStylePr w:type="lastRow">
      <w:rPr>
        <w:b/>
        <w:color w:val="9C3A37" w:themeColor="accent2" w:themeTint="97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spacing/>
      </w:pPr>
    </w:tblStylePr>
  </w:style>
  <w:style w:type="table" w:styleId="style1084">
    <w:name w:val="Grid Table 6 Colorful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5C702F" w:themeColor="accent3" w:themeTint="FE" w:themeShade="95"/>
      </w:rPr>
      <w:pPr>
        <w:spacing/>
      </w:pPr>
    </w:tblStylePr>
    <w:tblStylePr w:type="firstRow">
      <w:rPr>
        <w:b/>
        <w:color w:val="5C702F" w:themeColor="accent3" w:themeTint="FE" w:themeShade="95"/>
      </w:rPr>
      <w:pPr>
        <w:spacing/>
      </w:p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  <w:pPr>
        <w:spacing/>
      </w:pPr>
    </w:tblStylePr>
    <w:tblStylePr w:type="lastRow">
      <w:rPr>
        <w:b/>
        <w:color w:val="5C702F" w:themeColor="accent3" w:themeTint="FE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spacing/>
      </w:pPr>
    </w:tblStylePr>
  </w:style>
  <w:style w:type="table" w:styleId="style1085">
    <w:name w:val="Grid Table 6 Colorful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664F82" w:themeColor="accent4" w:themeTint="9A" w:themeShade="95"/>
      </w:rPr>
      <w:pPr>
        <w:spacing/>
      </w:pPr>
    </w:tblStylePr>
    <w:tblStylePr w:type="firstRow">
      <w:rPr>
        <w:b/>
        <w:color w:val="664F82" w:themeColor="accent4" w:themeTint="9A" w:themeShade="95"/>
      </w:rPr>
      <w:pPr>
        <w:spacing/>
      </w:p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  <w:pPr>
        <w:spacing/>
      </w:pPr>
    </w:tblStylePr>
    <w:tblStylePr w:type="lastRow">
      <w:rPr>
        <w:b/>
        <w:color w:val="664F82" w:themeColor="accent4" w:themeTint="9A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spacing/>
      </w:pPr>
    </w:tblStylePr>
  </w:style>
  <w:style w:type="table" w:styleId="style1086">
    <w:name w:val="Grid Table 6 Colorful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66777" w:themeColor="accent5" w:themeShade="95"/>
      </w:rPr>
      <w:pPr>
        <w:spacing/>
      </w:pPr>
    </w:tblStylePr>
    <w:tblStylePr w:type="firstRow">
      <w:rPr>
        <w:b/>
        <w:color w:val="266777" w:themeColor="accent5" w:themeShade="95"/>
      </w:rPr>
      <w:pPr>
        <w:spacing/>
      </w:p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  <w:pPr>
        <w:spacing/>
      </w:pPr>
    </w:tblStylePr>
    <w:tblStylePr w:type="lastRow">
      <w:rPr>
        <w:b/>
        <w:color w:val="266777" w:themeColor="accent5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5" w:themeShade="95"/>
        <w:sz w:val="22"/>
      </w:rPr>
      <w:pPr>
        <w:spacing/>
      </w:pPr>
    </w:tblStylePr>
  </w:style>
  <w:style w:type="table" w:styleId="style1087">
    <w:name w:val="Grid Table 6 Colorful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66777" w:themeColor="accent5" w:themeShade="95"/>
      </w:rPr>
      <w:pPr>
        <w:spacing/>
      </w:pPr>
    </w:tblStylePr>
    <w:tblStylePr w:type="firstRow">
      <w:rPr>
        <w:b/>
        <w:color w:val="266777" w:themeColor="accent5" w:themeShade="95"/>
      </w:rPr>
      <w:pPr>
        <w:spacing/>
      </w:p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  <w:pPr>
        <w:spacing/>
      </w:pPr>
    </w:tblStylePr>
    <w:tblStylePr w:type="lastRow">
      <w:rPr>
        <w:b/>
        <w:color w:val="266777" w:themeColor="accent5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5" w:themeShade="95"/>
        <w:sz w:val="22"/>
      </w:rPr>
      <w:pPr>
        <w:spacing/>
      </w:pPr>
    </w:tblStylePr>
  </w:style>
  <w:style w:type="table" w:styleId="style1088">
    <w:name w:val="Grid Table 7 Colorful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89">
    <w:name w:val="Grid Table 7 Colorful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pPr>
        <w:spacing/>
      </w:p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0">
    <w:name w:val="Grid Table 7 Colorful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1">
    <w:name w:val="Grid Table 7 Colorful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2">
    <w:name w:val="Grid Table 7 Colorful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3">
    <w:name w:val="Grid Table 7 Colorful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4">
    <w:name w:val="Grid Table 7 Colorful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5">
    <w:name w:val="List Table 1 Light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6">
    <w:name w:val="List Table 1 Light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7">
    <w:name w:val="List Table 1 Light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8">
    <w:name w:val="List Table 1 Light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9">
    <w:name w:val="List Table 1 Light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0">
    <w:name w:val="List Table 1 Light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1">
    <w:name w:val="List Table 1 Light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2">
    <w:name w:val="List Table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3">
    <w:name w:val="List Table 2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4">
    <w:name w:val="List Table 2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5">
    <w:name w:val="List Table 2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6">
    <w:name w:val="List Table 2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7">
    <w:name w:val="List Table 2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8">
    <w:name w:val="List Table 2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9">
    <w:name w:val="List Table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0">
    <w:name w:val="List Table 3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1">
    <w:name w:val="List Table 3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2">
    <w:name w:val="List Table 3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 w:themeFillTint="98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3">
    <w:name w:val="List Table 3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4">
    <w:name w:val="List Table 3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 w:themeFillTint="9A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5">
    <w:name w:val="List Table 3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 w:themeFillTint="98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6">
    <w:name w:val="List Table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7">
    <w:name w:val="List Table 4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8">
    <w:name w:val="List Table 4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9">
    <w:name w:val="List Table 4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20">
    <w:name w:val="List Table 4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21">
    <w:name w:val="List Table 4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22">
    <w:name w:val="List Table 4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23">
    <w:name w:val="List Table 5 Dark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pPr>
        <w:spacing/>
      </w:pPr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4">
    <w:name w:val="List Table 5 Dark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pPr>
        <w:spacing/>
      </w:pPr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5">
    <w:name w:val="List Table 5 Dark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pPr>
        <w:spacing/>
      </w:pPr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6">
    <w:name w:val="List Table 5 Dark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pPr>
        <w:spacing/>
      </w:pPr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7">
    <w:name w:val="List Table 5 Dark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pPr>
        <w:spacing/>
      </w:pPr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8">
    <w:name w:val="List Table 5 Dark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pPr>
        <w:spacing/>
      </w:pPr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9">
    <w:name w:val="List Table 5 Dark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pPr>
        <w:spacing/>
      </w:pPr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30">
    <w:name w:val="List Table 6 Colorful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pPr>
        <w:spacing/>
      </w:p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000000" w:themeColor="text1"/>
      </w:rPr>
      <w:pPr>
        <w:spacing/>
      </w:pPr>
    </w:tblStylePr>
    <w:tblStylePr w:type="firstRow">
      <w:rPr>
        <w:b/>
        <w:color w:val="000000" w:themeColor="text1"/>
      </w:rPr>
      <w:pPr>
        <w:spacing/>
      </w:p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  <w:pPr>
        <w:spacing/>
      </w:pPr>
    </w:tblStylePr>
    <w:tblStylePr w:type="lastRow">
      <w:rPr>
        <w:b/>
        <w:color w:val="000000" w:themeColor="text1"/>
      </w:rPr>
      <w:pPr>
        <w:spacing/>
      </w:pPr>
      <w:tcPr>
        <w:tcBorders>
          <w:top w:val="single" w:color="000000" w:sz="4" w:space="0" w:themeColor="text1" w:themeTint="8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1">
    <w:name w:val="List Table 6 Colorful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pPr>
        <w:spacing/>
      </w:p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A4B71" w:themeColor="accent1" w:themeShade="95"/>
      </w:rPr>
      <w:pPr>
        <w:spacing/>
      </w:pPr>
    </w:tblStylePr>
    <w:tblStylePr w:type="firstRow">
      <w:rPr>
        <w:b/>
        <w:color w:val="2A4B71" w:themeColor="accent1" w:themeShade="95"/>
      </w:rPr>
      <w:pPr>
        <w:spacing/>
      </w:p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  <w:pPr>
        <w:spacing/>
      </w:pPr>
    </w:tblStylePr>
    <w:tblStylePr w:type="lastRow">
      <w:rPr>
        <w:b/>
        <w:color w:val="2A4B71" w:themeColor="accent1" w:themeShade="95"/>
      </w:rPr>
      <w:pPr>
        <w:spacing/>
      </w:pPr>
      <w:tcPr>
        <w:tcBorders>
          <w:top w:val="single" w:color="000000" w:sz="4" w:space="0" w:themeColor="accen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2">
    <w:name w:val="List Table 6 Colorful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pPr>
        <w:spacing/>
      </w:p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9C3A37" w:themeColor="accent2" w:themeTint="97" w:themeShade="95"/>
      </w:rPr>
      <w:pPr>
        <w:spacing/>
      </w:pPr>
    </w:tblStylePr>
    <w:tblStylePr w:type="firstRow">
      <w:rPr>
        <w:b/>
        <w:color w:val="9C3A37" w:themeColor="accent2" w:themeTint="97" w:themeShade="95"/>
      </w:rPr>
      <w:pPr>
        <w:spacing/>
      </w:p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  <w:pPr>
        <w:spacing/>
      </w:pPr>
    </w:tblStylePr>
    <w:tblStylePr w:type="lastRow">
      <w:rPr>
        <w:b/>
        <w:color w:val="9C3A37" w:themeColor="accent2" w:themeTint="97" w:themeShade="95"/>
      </w:rPr>
      <w:pPr>
        <w:spacing/>
      </w:pPr>
      <w:tcPr>
        <w:tcBorders>
          <w:top w:val="single" w:color="000000" w:sz="4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3">
    <w:name w:val="List Table 6 Colorful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pPr>
        <w:spacing/>
      </w:p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7C983F" w:themeColor="accent3" w:themeTint="98" w:themeShade="95"/>
      </w:rPr>
      <w:pPr>
        <w:spacing/>
      </w:pPr>
    </w:tblStylePr>
    <w:tblStylePr w:type="firstRow">
      <w:rPr>
        <w:b/>
        <w:color w:val="7C983F" w:themeColor="accent3" w:themeTint="98" w:themeShade="95"/>
      </w:rPr>
      <w:pPr>
        <w:spacing/>
      </w:p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  <w:pPr>
        <w:spacing/>
      </w:pPr>
    </w:tblStylePr>
    <w:tblStylePr w:type="lastRow">
      <w:rPr>
        <w:b/>
        <w:color w:val="7C983F" w:themeColor="accent3" w:themeTint="98" w:themeShade="95"/>
      </w:rPr>
      <w:pPr>
        <w:spacing/>
      </w:pPr>
      <w:tcPr>
        <w:tcBorders>
          <w:top w:val="single" w:color="000000" w:sz="4" w:space="0" w:themeColor="accent3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4">
    <w:name w:val="List Table 6 Colorful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pPr>
        <w:spacing/>
      </w:p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664F82" w:themeColor="accent4" w:themeTint="9A" w:themeShade="95"/>
      </w:rPr>
      <w:pPr>
        <w:spacing/>
      </w:pPr>
    </w:tblStylePr>
    <w:tblStylePr w:type="firstRow">
      <w:rPr>
        <w:b/>
        <w:color w:val="664F82" w:themeColor="accent4" w:themeTint="9A" w:themeShade="95"/>
      </w:rPr>
      <w:pPr>
        <w:spacing/>
      </w:p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  <w:pPr>
        <w:spacing/>
      </w:pPr>
    </w:tblStylePr>
    <w:tblStylePr w:type="lastRow">
      <w:rPr>
        <w:b/>
        <w:color w:val="664F82" w:themeColor="accent4" w:themeTint="9A" w:themeShade="95"/>
      </w:rPr>
      <w:pPr>
        <w:spacing/>
      </w:pPr>
      <w:tcPr>
        <w:tcBorders>
          <w:top w:val="single" w:color="000000" w:sz="4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5">
    <w:name w:val="List Table 6 Colorful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pPr>
        <w:spacing/>
      </w:p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338AA0" w:themeColor="accent5" w:themeTint="9A" w:themeShade="95"/>
      </w:rPr>
      <w:pPr>
        <w:spacing/>
      </w:pPr>
    </w:tblStylePr>
    <w:tblStylePr w:type="firstRow">
      <w:rPr>
        <w:b/>
        <w:color w:val="338AA0" w:themeColor="accent5" w:themeTint="9A" w:themeShade="95"/>
      </w:rPr>
      <w:pPr>
        <w:spacing/>
      </w:p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  <w:pPr>
        <w:spacing/>
      </w:pPr>
    </w:tblStylePr>
    <w:tblStylePr w:type="lastRow">
      <w:rPr>
        <w:b/>
        <w:color w:val="338AA0" w:themeColor="accent5" w:themeTint="9A" w:themeShade="95"/>
      </w:rPr>
      <w:pPr>
        <w:spacing/>
      </w:pPr>
      <w:tcPr>
        <w:tcBorders>
          <w:top w:val="single" w:color="000000" w:sz="4" w:space="0" w:themeColor="accent5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6">
    <w:name w:val="List Table 6 Colorful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pPr>
        <w:spacing/>
      </w:p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D9680C" w:themeColor="accent6" w:themeTint="98" w:themeShade="95"/>
      </w:rPr>
      <w:pPr>
        <w:spacing/>
      </w:pPr>
    </w:tblStylePr>
    <w:tblStylePr w:type="firstRow">
      <w:rPr>
        <w:b/>
        <w:color w:val="D9680C" w:themeColor="accent6" w:themeTint="98" w:themeShade="95"/>
      </w:rPr>
      <w:pPr>
        <w:spacing/>
      </w:p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  <w:pPr>
        <w:spacing/>
      </w:pPr>
    </w:tblStylePr>
    <w:tblStylePr w:type="lastRow">
      <w:rPr>
        <w:b/>
        <w:color w:val="D9680C" w:themeColor="accent6" w:themeTint="98" w:themeShade="95"/>
      </w:rPr>
      <w:pPr>
        <w:spacing/>
      </w:pPr>
      <w:tcPr>
        <w:tcBorders>
          <w:top w:val="single" w:color="000000" w:sz="4" w:space="0" w:themeColor="accent6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7">
    <w:name w:val="List Table 7 Colorful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pPr>
        <w:spacing/>
      </w:p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spacing/>
      </w:pPr>
    </w:tblStylePr>
  </w:style>
  <w:style w:type="table" w:styleId="style1138">
    <w:name w:val="List Table 7 Colorful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pPr>
        <w:spacing/>
      </w:p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2A4B71" w:themeColor="accent1" w:themeShade="95"/>
        <w:sz w:val="22"/>
      </w:rPr>
      <w:pPr>
        <w:spacing/>
      </w:pPr>
    </w:tblStylePr>
  </w:style>
  <w:style w:type="table" w:styleId="style1139">
    <w:name w:val="List Table 7 Colorful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pPr>
        <w:spacing/>
      </w:p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spacing/>
      </w:pPr>
    </w:tblStylePr>
  </w:style>
  <w:style w:type="table" w:styleId="style1140">
    <w:name w:val="List Table 7 Colorful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pPr>
        <w:spacing/>
      </w:p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spacing/>
      </w:pPr>
    </w:tblStylePr>
  </w:style>
  <w:style w:type="table" w:styleId="style1141">
    <w:name w:val="List Table 7 Colorful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pPr>
        <w:spacing/>
      </w:p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spacing/>
      </w:pPr>
    </w:tblStylePr>
  </w:style>
  <w:style w:type="table" w:styleId="style1142">
    <w:name w:val="List Table 7 Colorful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pPr>
        <w:spacing/>
      </w:p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spacing/>
      </w:pPr>
    </w:tblStylePr>
  </w:style>
  <w:style w:type="table" w:styleId="style1143">
    <w:name w:val="List Table 7 Colorful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pPr>
        <w:spacing/>
      </w:p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spacing/>
      </w:pPr>
    </w:tblStylePr>
  </w:style>
  <w:style w:type="table" w:styleId="style1144">
    <w:name w:val="Lined - Accent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</w:style>
  <w:style w:type="table" w:styleId="style1145">
    <w:name w:val="Lined - Accent 1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</w:style>
  <w:style w:type="table" w:styleId="style1146">
    <w:name w:val="Lined - Accent 2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</w:style>
  <w:style w:type="table" w:styleId="style1147">
    <w:name w:val="Lined - Accent 3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</w:style>
  <w:style w:type="table" w:styleId="style1148">
    <w:name w:val="Lined - Accent 4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</w:style>
  <w:style w:type="table" w:styleId="style1149">
    <w:name w:val="Lined - Accent 5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0">
    <w:name w:val="Lined - Accent 6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1">
    <w:name w:val="Bordered &amp; Lined - Accent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</w:style>
  <w:style w:type="table" w:styleId="style1152">
    <w:name w:val="Bordered &amp; Lined - Accent 1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</w:style>
  <w:style w:type="table" w:styleId="style1153">
    <w:name w:val="Bordered &amp; Lined - Accent 2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</w:style>
  <w:style w:type="table" w:styleId="style1154">
    <w:name w:val="Bordered &amp; Lined - Accent 3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</w:style>
  <w:style w:type="table" w:styleId="style1155">
    <w:name w:val="Bordered &amp; Lined - Accent 4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</w:style>
  <w:style w:type="table" w:styleId="style1156">
    <w:name w:val="Bordered &amp; Lined - Accent 5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7">
    <w:name w:val="Bordered &amp; Lined - Accent 6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8">
    <w:name w:val="Bordered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text1" w:themeTint="8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9">
    <w:name w:val="Bordered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0">
    <w:name w:val="Bordered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1">
    <w:name w:val="Bordered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3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2">
    <w:name w:val="Bordered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3">
    <w:name w:val="Bordered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5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4">
    <w:name w:val="Bordered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6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paragraph" w:styleId="style1166">
    <w:name w:val="footnote text"/>
    <w:basedOn w:val="bs1002"/>
    <w:link w:val="style1167"/>
    <w:uiPriority w:val="99"/>
    <w:semiHidden/>
    <w:unhideWhenUsed/>
    <w:rPr>
      <w:sz w:val="18"/>
    </w:rPr>
    <w:pPr>
      <w:autoSpaceDN w:val="false"/>
      <w:autoSpaceDE w:val="false"/>
      <w:overflowPunct w:val="false"/>
      <w:spacing w:lineRule="auto" w:line="240" w:after="40"/>
    </w:pPr>
  </w:style>
  <w:style w:type="character" w:styleId="style1167">
    <w:name w:val="Footnote Text Char"/>
    <w:link w:val="style1166"/>
    <w:uiPriority w:val="99"/>
    <w:rPr>
      <w:sz w:val="18"/>
    </w:rPr>
    <w:pPr>
      <w:spacing/>
    </w:pPr>
  </w:style>
  <w:style w:type="character" w:styleId="style1168">
    <w:name w:val="footnote reference"/>
    <w:basedOn w:val="bs1004"/>
    <w:uiPriority w:val="99"/>
    <w:unhideWhenUsed/>
    <w:rPr>
      <w:vertAlign w:val="superscript"/>
    </w:rPr>
    <w:pPr>
      <w:spacing/>
    </w:pPr>
  </w:style>
  <w:style w:type="paragraph" w:styleId="style1169">
    <w:name w:val="toc 1"/>
    <w:basedOn w:val="bs1002"/>
    <w:next w:val="bs1002"/>
    <w:uiPriority w:val="39"/>
    <w:unhideWhenUsed/>
    <w:pPr>
      <w:ind w:left="0" w:right="0" w:firstLine="0"/>
      <w:autoSpaceDN w:val="false"/>
      <w:autoSpaceDE w:val="false"/>
      <w:overflowPunct w:val="false"/>
      <w:spacing w:after="57"/>
    </w:pPr>
  </w:style>
  <w:style w:type="paragraph" w:styleId="style1170">
    <w:name w:val="toc 2"/>
    <w:basedOn w:val="bs1002"/>
    <w:next w:val="bs1002"/>
    <w:uiPriority w:val="39"/>
    <w:unhideWhenUsed/>
    <w:pPr>
      <w:ind w:left="283" w:right="0" w:firstLine="0"/>
      <w:autoSpaceDN w:val="false"/>
      <w:autoSpaceDE w:val="false"/>
      <w:overflowPunct w:val="false"/>
      <w:spacing w:after="57"/>
    </w:pPr>
  </w:style>
  <w:style w:type="paragraph" w:styleId="style1171">
    <w:name w:val="toc 3"/>
    <w:basedOn w:val="bs1002"/>
    <w:next w:val="bs1002"/>
    <w:uiPriority w:val="39"/>
    <w:unhideWhenUsed/>
    <w:pPr>
      <w:ind w:left="567" w:right="0" w:firstLine="0"/>
      <w:autoSpaceDN w:val="false"/>
      <w:autoSpaceDE w:val="false"/>
      <w:overflowPunct w:val="false"/>
      <w:spacing w:after="57"/>
    </w:pPr>
  </w:style>
  <w:style w:type="paragraph" w:styleId="style1172">
    <w:name w:val="toc 4"/>
    <w:basedOn w:val="bs1002"/>
    <w:next w:val="bs1002"/>
    <w:uiPriority w:val="39"/>
    <w:unhideWhenUsed/>
    <w:pPr>
      <w:ind w:left="850" w:right="0" w:firstLine="0"/>
      <w:autoSpaceDN w:val="false"/>
      <w:autoSpaceDE w:val="false"/>
      <w:overflowPunct w:val="false"/>
      <w:spacing w:after="57"/>
    </w:pPr>
  </w:style>
  <w:style w:type="paragraph" w:styleId="style1173">
    <w:name w:val="toc 5"/>
    <w:basedOn w:val="bs1002"/>
    <w:next w:val="bs1002"/>
    <w:uiPriority w:val="39"/>
    <w:unhideWhenUsed/>
    <w:pPr>
      <w:ind w:left="1134" w:right="0" w:firstLine="0"/>
      <w:autoSpaceDN w:val="false"/>
      <w:autoSpaceDE w:val="false"/>
      <w:overflowPunct w:val="false"/>
      <w:spacing w:after="57"/>
    </w:pPr>
  </w:style>
  <w:style w:type="paragraph" w:styleId="style1174">
    <w:name w:val="toc 6"/>
    <w:basedOn w:val="bs1002"/>
    <w:next w:val="bs1002"/>
    <w:uiPriority w:val="39"/>
    <w:unhideWhenUsed/>
    <w:pPr>
      <w:ind w:left="1417" w:right="0" w:firstLine="0"/>
      <w:autoSpaceDN w:val="false"/>
      <w:autoSpaceDE w:val="false"/>
      <w:overflowPunct w:val="false"/>
      <w:spacing w:after="57"/>
    </w:pPr>
  </w:style>
  <w:style w:type="paragraph" w:styleId="style1175">
    <w:name w:val="toc 7"/>
    <w:basedOn w:val="bs1002"/>
    <w:next w:val="bs1002"/>
    <w:uiPriority w:val="39"/>
    <w:unhideWhenUsed/>
    <w:pPr>
      <w:ind w:left="1701" w:right="0" w:firstLine="0"/>
      <w:autoSpaceDN w:val="false"/>
      <w:autoSpaceDE w:val="false"/>
      <w:overflowPunct w:val="false"/>
      <w:spacing w:after="57"/>
    </w:pPr>
  </w:style>
  <w:style w:type="paragraph" w:styleId="style1176">
    <w:name w:val="toc 8"/>
    <w:basedOn w:val="bs1002"/>
    <w:next w:val="bs1002"/>
    <w:uiPriority w:val="39"/>
    <w:unhideWhenUsed/>
    <w:pPr>
      <w:ind w:left="1984" w:right="0" w:firstLine="0"/>
      <w:autoSpaceDN w:val="false"/>
      <w:autoSpaceDE w:val="false"/>
      <w:overflowPunct w:val="false"/>
      <w:spacing w:after="57"/>
    </w:pPr>
  </w:style>
  <w:style w:type="paragraph" w:styleId="style1177">
    <w:name w:val="toc 9"/>
    <w:basedOn w:val="bs1002"/>
    <w:next w:val="bs1002"/>
    <w:uiPriority w:val="39"/>
    <w:unhideWhenUsed/>
    <w:pPr>
      <w:ind w:left="2268" w:right="0" w:firstLine="0"/>
      <w:autoSpaceDN w:val="false"/>
      <w:autoSpaceDE w:val="false"/>
      <w:overflowPunct w:val="false"/>
      <w:spacing w:after="57"/>
    </w:pPr>
  </w:style>
  <w:style w:type="paragraph" w:styleId="style1178">
    <w:name w:val="TOC Heading"/>
    <w:uiPriority w:val="39"/>
    <w:unhideWhenUsed/>
    <w:pPr>
      <w:autoSpaceDN w:val="false"/>
      <w:autoSpaceDE w:val="false"/>
      <w:overflowPunct w:val="false"/>
      <w:spacing/>
    </w:pPr>
  </w:style>
  <w:style w:type="paragraph" w:styleId="bs1002" w:default="1">
    <w:name w:val="Normal"/>
    <w:qFormat/>
    <w:uiPriority w:val="0"/>
    <w:rPr>
      <w:rFonts w:ascii="Times New Roman" w:hAnsi="Times New Roman" w:cs="Times New Roman" w:eastAsia="宋体"/>
      <w:sz w:val="21"/>
      <w:kern w:val="2"/>
      <w:szCs w:val="24"/>
      <w:lang w:val="en-US" w:bidi="ar-SA" w:eastAsia="zh-CN"/>
    </w:rPr>
    <w:pPr>
      <w:jc w:val="both"/>
      <w:spacing/>
      <w:widowControl w:val="off"/>
    </w:pPr>
  </w:style>
  <w:style w:type="paragraph" w:styleId="bs1007">
    <w:name w:val="Date"/>
    <w:basedOn w:val="bs1002"/>
    <w:next w:val="bs1002"/>
    <w:qFormat/>
    <w:uiPriority w:val="0"/>
    <w:rPr>
      <w:rFonts w:ascii="仿宋_GB2312" w:eastAsia="仿宋_GB2312"/>
      <w:sz w:val="32"/>
    </w:rPr>
    <w:pPr>
      <w:ind w:left="100" w:leftChars="2500"/>
      <w:spacing/>
    </w:pPr>
  </w:style>
  <w:style w:type="paragraph" w:styleId="bs1009">
    <w:name w:val="Balloon Text"/>
    <w:basedOn w:val="bs1002"/>
    <w:qFormat/>
    <w:uiPriority w:val="0"/>
    <w:semiHidden/>
    <w:rPr>
      <w:sz w:val="18"/>
      <w:szCs w:val="18"/>
    </w:rPr>
    <w:pPr>
      <w:spacing/>
    </w:pPr>
  </w:style>
  <w:style w:type="paragraph" w:styleId="bs1010">
    <w:name w:val="Footer"/>
    <w:basedOn w:val="bs1002"/>
    <w:qFormat/>
    <w:uiPriority w:val="0"/>
    <w:rPr>
      <w:rFonts w:ascii="楷体_GB2312" w:hAnsi="Verdana" w:eastAsia="楷体_GB2312"/>
      <w:color w:val="000000"/>
      <w:sz w:val="18"/>
      <w:szCs w:val="18"/>
    </w:rPr>
    <w:pPr>
      <w:jc w:val="left"/>
      <w:spacing/>
      <w:snapToGrid w:val="0"/>
      <w:tabs>
        <w:tab w:val="center" w:pos="4153" w:leader="none"/>
        <w:tab w:val="right" w:pos="8306" w:leader="none"/>
      </w:tabs>
    </w:pPr>
  </w:style>
  <w:style w:type="paragraph" w:styleId="bs1012">
    <w:name w:val="Header"/>
    <w:basedOn w:val="bs1002"/>
    <w:qFormat/>
    <w:uiPriority w:val="0"/>
    <w:rPr>
      <w:rFonts w:ascii="楷体_GB2312" w:hAnsi="Verdana" w:eastAsia="楷体_GB2312"/>
      <w:color w:val="000000"/>
      <w:sz w:val="18"/>
      <w:szCs w:val="18"/>
    </w:rPr>
    <w:pPr>
      <w:jc w:val="center"/>
      <w:spacing/>
      <w:snapToGrid w:val="0"/>
      <w:tabs>
        <w:tab w:val="center" w:pos="4153" w:leader="none"/>
        <w:tab w:val="right" w:pos="8306" w:leader="none"/>
      </w:tabs>
      <w:pBdr>
        <w:bottom w:val="single" w:sz="6" w:space="1" w:color="auto"/>
      </w:pBdr>
    </w:pPr>
  </w:style>
  <w:style w:type="paragraph" w:styleId="bs1014">
    <w:name w:val="HTML Preformatted"/>
    <w:basedOn w:val="bs1002"/>
    <w:qFormat/>
    <w:uiPriority w:val="0"/>
    <w:rPr>
      <w:rFonts w:ascii="宋体" w:hAnsi="宋体" w:cs="宋体" w:eastAsia="宋体" w:hint="eastAsia"/>
      <w:sz w:val="24"/>
      <w:kern w:val="0"/>
      <w:szCs w:val="24"/>
      <w:lang w:val="en-US" w:bidi="ar" w:eastAsia="zh-CN"/>
    </w:rPr>
    <w:pPr>
      <w:jc w:val="left"/>
      <w:spacing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table" w:styleId="bs1005" w:default="1">
    <w:name w:val="Normal Table"/>
    <w:qFormat/>
    <w:uiPriority w:val="99"/>
    <w:semiHidden/>
    <w:unhideWhenUsed/>
    <w:rPr>
      <w:rFonts w:ascii="Times New Roman" w:hAnsi="Times New Roman" w:cs="Times New Roman" w:hint="default"/>
      <w:sz w:val="20"/>
      <w:szCs w:val="20"/>
    </w:rPr>
    <w:pPr>
      <w:ind w:left="0" w:right="0"/>
      <w:keepLines w:val="false"/>
      <w:keepNext w:val="false"/>
      <w:spacing w:after="0" w:afterAutospacing="0" w:before="0" w:beforeAutospacing="0"/>
      <w:widowControl/>
    </w:p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16">
    <w:name w:val="Table Grid"/>
    <w:basedOn w:val="bs1005"/>
    <w:qFormat/>
    <w:uiPriority w:val="0"/>
    <w:pPr>
      <w:jc w:val="both"/>
      <w:spacing/>
      <w:widowControl w:val="off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character" w:styleId="bs1004" w:default="1">
    <w:name w:val="Default Paragraph Font"/>
    <w:qFormat/>
    <w:uiPriority w:val="1"/>
    <w:semiHidden/>
    <w:unhideWhenUsed/>
    <w:pPr>
      <w:spacing/>
    </w:pPr>
  </w:style>
  <w:style w:type="character" w:styleId="bs1018">
    <w:name w:val="page number"/>
    <w:basedOn w:val="bs1004"/>
    <w:qFormat/>
    <w:uiPriority w:val="0"/>
    <w:pPr>
      <w:spacing/>
    </w:pPr>
  </w:style>
  <w:style w:type="character" w:styleId="bs1019">
    <w:name w:val="FollowedHyperlink"/>
    <w:qFormat/>
    <w:uiPriority w:val="0"/>
    <w:rPr>
      <w:color w:val="800080"/>
      <w:u w:val="single"/>
    </w:rPr>
    <w:pPr>
      <w:spacing/>
    </w:pPr>
  </w:style>
  <w:style w:type="character" w:styleId="bs1020">
    <w:name w:val="Hyperlink"/>
    <w:qFormat/>
    <w:uiPriority w:val="0"/>
    <w:rPr>
      <w:color w:val="0000FF"/>
      <w:u w:val="single"/>
    </w:rPr>
    <w:pPr>
      <w:spacing/>
    </w:pPr>
  </w:style>
  <w:style w:type="character" w:styleId="bs1021" w:customStyle="1">
    <w:name w:val="font21"/>
    <w:qFormat/>
    <w:uiPriority w:val="0"/>
    <w:rPr>
      <w:rFonts w:ascii="宋体" w:hAnsi="宋体" w:cs="宋体" w:eastAsia="宋体" w:hint="eastAsia"/>
      <w:color w:val="000000"/>
      <w:sz w:val="20"/>
      <w:szCs w:val="20"/>
      <w:u w:val="none"/>
    </w:rPr>
    <w:pPr>
      <w:spacing/>
    </w:pPr>
  </w:style>
  <w:style w:type="character" w:styleId="bs1022" w:customStyle="1">
    <w:name w:val="10"/>
    <w:qFormat/>
    <w:uiPriority w:val="0"/>
    <w:rPr>
      <w:rFonts w:ascii="Times New Roman" w:hAnsi="Times New Roman" w:cs="Times New Roman" w:hint="default"/>
    </w:rPr>
    <w:pPr>
      <w:spacing/>
    </w:pPr>
  </w:style>
  <w:style w:type="character" w:styleId="bs1023" w:customStyle="1">
    <w:name w:val="15"/>
    <w:qFormat/>
    <w:uiPriority w:val="0"/>
    <w:rPr>
      <w:rFonts w:ascii="Times New Roman" w:hAnsi="Times New Roman" w:cs="Times New Roman" w:hint="default"/>
    </w:rPr>
    <w:pPr>
      <w:spacing/>
    </w:pPr>
  </w:style>
  <w:style w:type="character" w:styleId="bs1024" w:customStyle="1">
    <w:name w:val="font01"/>
    <w:qFormat/>
    <w:uiPriority w:val="0"/>
    <w:rPr>
      <w:rFonts w:ascii="Times New Roman" w:hAnsi="Times New Roman" w:cs="Times New Roman" w:hint="default"/>
      <w:color w:val="000000"/>
      <w:sz w:val="18"/>
      <w:szCs w:val="18"/>
      <w:u w:val="none"/>
    </w:rPr>
    <w:pPr>
      <w:spacing/>
    </w:pPr>
  </w:style>
  <w:style w:type="paragraph" w:styleId="bs1025">
    <w:name w:val="List Paragraph"/>
    <w:basedOn w:val="bs1002"/>
    <w:qFormat/>
    <w:uiPriority w:val="99"/>
    <w:pPr>
      <w:ind w:firstLine="420" w:firstLineChars="200"/>
      <w:spacing/>
    </w:pPr>
  </w:style>
  <w:style w:type="character" w:styleId="bs1027" w:customStyle="1">
    <w:name w:val="font11"/>
    <w:basedOn w:val="bs1004"/>
    <w:qFormat/>
    <w:uiPriority w:val="0"/>
    <w:rPr>
      <w:rFonts w:ascii="Times New Roman" w:hAnsi="Times New Roman" w:cs="Times New Roman" w:hint="default"/>
      <w:color w:val="000000"/>
      <w:sz w:val="18"/>
      <w:szCs w:val="18"/>
      <w:u w:val="none"/>
    </w:rPr>
    <w:pPr>
      <w:spacing/>
    </w:pPr>
  </w:style>
  <w:style w:type="character" w:styleId="bs1028" w:customStyle="1">
    <w:name w:val="font31"/>
    <w:basedOn w:val="bs1004"/>
    <w:qFormat/>
    <w:uiPriority w:val="0"/>
    <w:rPr>
      <w:rFonts w:ascii="宋体" w:hAnsi="宋体" w:cs="宋体" w:eastAsia="宋体" w:hint="eastAsia"/>
      <w:color w:val="000000"/>
      <w:sz w:val="18"/>
      <w:szCs w:val="18"/>
      <w:u w:val="none"/>
    </w:rPr>
    <w:pPr>
      <w:spacing/>
    </w:pPr>
  </w:style>
  <w:style w:type="character" w:styleId="bs1029" w:customStyle="1">
    <w:name w:val="font41"/>
    <w:basedOn w:val="bs1004"/>
    <w:qFormat/>
    <w:uiPriority w:val="0"/>
    <w:rPr>
      <w:rFonts w:ascii="宋体" w:hAnsi="宋体" w:cs="宋体" w:eastAsia="宋体" w:hint="eastAsia"/>
      <w:color w:val="000000"/>
      <w:sz w:val="18"/>
      <w:szCs w:val="18"/>
      <w:u w:val="none"/>
    </w:rPr>
    <w:pPr>
      <w:spacing/>
    </w:pPr>
  </w:style>
  <w:style w:type="character" w:styleId="bs1030" w:customStyle="1">
    <w:name w:val="font61"/>
    <w:basedOn w:val="bs1004"/>
    <w:qFormat/>
    <w:uiPriority w:val="0"/>
    <w:rPr>
      <w:rFonts w:ascii="宋体" w:hAnsi="宋体" w:cs="宋体" w:eastAsia="宋体" w:hint="eastAsia"/>
      <w:color w:val="000000"/>
      <w:sz w:val="18"/>
      <w:szCs w:val="18"/>
      <w:u w:val="none"/>
    </w:rPr>
    <w:pPr>
      <w:spacing/>
    </w:pPr>
  </w:style>
  <w:style w:type="character" w:styleId="bs1031" w:customStyle="1">
    <w:name w:val="font71"/>
    <w:basedOn w:val="bs1004"/>
    <w:qFormat/>
    <w:uiPriority w:val="0"/>
    <w:rPr>
      <w:rFonts w:ascii="宋体" w:hAnsi="宋体" w:cs="宋体" w:eastAsia="宋体" w:hint="eastAsia"/>
      <w:color w:val="000000"/>
      <w:sz w:val="18"/>
      <w:szCs w:val="18"/>
      <w:u w:val="none"/>
    </w:rPr>
    <w:pPr>
      <w: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毕升Office</Application>
  <Company>Microsoft</Company>
  <DocSecurity>0</DocSecurity>
  <LinksUpToDate>false</LinksUpToDate>
  <ScaleCrop>false</ScaleCrop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2004年2月，根据《深圳市城市供水水质公报实施方案》，我局对全市26家镇级以上供水企业43个水厂原水水样、出厂水水样以及66个管网水水样进行了抽检，现将水质月检结果向社会公布（见附表）</dc:title>
  <dc:creator>x</dc:creator>
  <cp:lastModifiedBy>___robot___</cp:lastModifiedBy>
  <cp:revision>2</cp:revision>
  <dcterms:created xsi:type="dcterms:W3CDTF">2021-12-31T16:04:00Z</dcterms:created>
  <dcterms:modified xsi:type="dcterms:W3CDTF">2026-07-16T12:42:15Z</dcterms:modified>
</cp:coreProperties>
</file>